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3693E" w14:paraId="79CADF36" w14:textId="77777777" w:rsidTr="002A485E">
        <w:tc>
          <w:tcPr>
            <w:tcW w:w="2628" w:type="dxa"/>
          </w:tcPr>
          <w:p w14:paraId="10D5E9BA" w14:textId="77777777" w:rsidR="0063693E" w:rsidRDefault="000129F0">
            <w:r>
              <w:rPr>
                <w:noProof/>
                <w:lang w:val="en-US" w:eastAsia="en-US"/>
              </w:rPr>
              <w:drawing>
                <wp:inline distT="0" distB="0" distL="0" distR="0" wp14:anchorId="79D5DF85" wp14:editId="1CECD965">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14:paraId="797432B9" w14:textId="6C6B42AE" w:rsidR="0063693E" w:rsidRDefault="00BF2C7C" w:rsidP="001209CB">
            <w:pPr>
              <w:pStyle w:val="Heading1"/>
              <w:jc w:val="right"/>
            </w:pPr>
            <w:r>
              <w:t>Implementation Plan for</w:t>
            </w:r>
            <w:r w:rsidR="0063693E">
              <w:t xml:space="preserve"> Revi</w:t>
            </w:r>
            <w:r w:rsidR="00E82617">
              <w:t xml:space="preserve">ew of </w:t>
            </w:r>
            <w:r w:rsidR="002A3D8F">
              <w:t>Dep</w:t>
            </w:r>
            <w:r w:rsidR="00C55482">
              <w:t>artmen</w:t>
            </w:r>
            <w:r w:rsidR="002A3D8F">
              <w:t xml:space="preserve">t of </w:t>
            </w:r>
            <w:r>
              <w:t xml:space="preserve">Media, Music, Communication and Cultural Studies, </w:t>
            </w:r>
            <w:r w:rsidR="001209CB">
              <w:t>February</w:t>
            </w:r>
            <w:r w:rsidR="00AC2224">
              <w:t xml:space="preserve"> 201</w:t>
            </w:r>
            <w:r w:rsidR="001209CB">
              <w:t>3</w:t>
            </w:r>
          </w:p>
        </w:tc>
      </w:tr>
    </w:tbl>
    <w:p w14:paraId="76E20C21" w14:textId="77777777" w:rsidR="0063693E" w:rsidRDefault="0063693E" w:rsidP="0063693E">
      <w:pPr>
        <w:pStyle w:val="Heading2"/>
      </w:pPr>
      <w:r>
        <w:t>Implementation of Findings and Recommendations</w:t>
      </w:r>
    </w:p>
    <w:p w14:paraId="58F85562" w14:textId="77777777" w:rsidR="0063693E" w:rsidRDefault="0063693E" w:rsidP="0063693E">
      <w:pPr>
        <w:pStyle w:val="Heading3"/>
        <w:numPr>
          <w:ilvl w:val="0"/>
          <w:numId w:val="1"/>
        </w:numPr>
      </w:pPr>
      <w:r>
        <w:t>Governance,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406"/>
        <w:gridCol w:w="6830"/>
        <w:gridCol w:w="1843"/>
        <w:gridCol w:w="1450"/>
      </w:tblGrid>
      <w:tr w:rsidR="00006F33" w14:paraId="373DCCC4" w14:textId="77777777" w:rsidTr="00006F33">
        <w:tc>
          <w:tcPr>
            <w:tcW w:w="645" w:type="dxa"/>
          </w:tcPr>
          <w:p w14:paraId="49F07322" w14:textId="77777777" w:rsidR="00006F33" w:rsidRPr="00654044" w:rsidRDefault="00006F33" w:rsidP="00654044">
            <w:pPr>
              <w:jc w:val="center"/>
              <w:rPr>
                <w:rFonts w:ascii="Verdana" w:hAnsi="Verdana"/>
                <w:b/>
                <w:sz w:val="20"/>
                <w:szCs w:val="20"/>
              </w:rPr>
            </w:pPr>
            <w:r w:rsidRPr="00654044">
              <w:rPr>
                <w:rFonts w:ascii="Verdana" w:hAnsi="Verdana"/>
                <w:b/>
                <w:sz w:val="20"/>
                <w:szCs w:val="20"/>
              </w:rPr>
              <w:t>Rec No.</w:t>
            </w:r>
          </w:p>
        </w:tc>
        <w:tc>
          <w:tcPr>
            <w:tcW w:w="3406" w:type="dxa"/>
          </w:tcPr>
          <w:p w14:paraId="287DB3B9" w14:textId="77777777" w:rsidR="00006F33" w:rsidRPr="00654044" w:rsidRDefault="00006F33" w:rsidP="00654044">
            <w:pPr>
              <w:jc w:val="center"/>
              <w:rPr>
                <w:rFonts w:ascii="Verdana" w:hAnsi="Verdana"/>
                <w:b/>
                <w:sz w:val="20"/>
                <w:szCs w:val="20"/>
              </w:rPr>
            </w:pPr>
            <w:r w:rsidRPr="00654044">
              <w:rPr>
                <w:rFonts w:ascii="Verdana" w:hAnsi="Verdana"/>
                <w:b/>
                <w:sz w:val="20"/>
                <w:szCs w:val="20"/>
              </w:rPr>
              <w:t>Recommendation</w:t>
            </w:r>
          </w:p>
        </w:tc>
        <w:tc>
          <w:tcPr>
            <w:tcW w:w="6830" w:type="dxa"/>
          </w:tcPr>
          <w:p w14:paraId="796487E9" w14:textId="77777777" w:rsidR="00006F33" w:rsidRPr="00654044" w:rsidRDefault="00006F33" w:rsidP="00654044">
            <w:pPr>
              <w:jc w:val="center"/>
              <w:rPr>
                <w:rFonts w:ascii="Verdana" w:hAnsi="Verdana"/>
                <w:b/>
                <w:sz w:val="20"/>
                <w:szCs w:val="20"/>
              </w:rPr>
            </w:pPr>
            <w:r>
              <w:rPr>
                <w:rFonts w:ascii="Verdana" w:hAnsi="Verdana"/>
                <w:b/>
                <w:sz w:val="20"/>
                <w:szCs w:val="20"/>
              </w:rPr>
              <w:t>Response and Status</w:t>
            </w:r>
          </w:p>
        </w:tc>
        <w:tc>
          <w:tcPr>
            <w:tcW w:w="1843" w:type="dxa"/>
          </w:tcPr>
          <w:p w14:paraId="20BEEF55" w14:textId="77777777" w:rsidR="00006F33" w:rsidRPr="00654044" w:rsidRDefault="00006F33" w:rsidP="00654044">
            <w:pPr>
              <w:jc w:val="center"/>
              <w:rPr>
                <w:rFonts w:ascii="Verdana" w:hAnsi="Verdana"/>
                <w:b/>
                <w:sz w:val="20"/>
                <w:szCs w:val="20"/>
              </w:rPr>
            </w:pPr>
            <w:r w:rsidRPr="00654044">
              <w:rPr>
                <w:rFonts w:ascii="Verdana" w:hAnsi="Verdana"/>
                <w:b/>
                <w:sz w:val="20"/>
                <w:szCs w:val="20"/>
              </w:rPr>
              <w:t>Responsibility</w:t>
            </w:r>
          </w:p>
        </w:tc>
        <w:tc>
          <w:tcPr>
            <w:tcW w:w="1450" w:type="dxa"/>
          </w:tcPr>
          <w:p w14:paraId="57F042C1" w14:textId="77777777" w:rsidR="00006F33" w:rsidRPr="00654044" w:rsidRDefault="00006F33" w:rsidP="007D549D">
            <w:pPr>
              <w:jc w:val="center"/>
              <w:rPr>
                <w:rFonts w:ascii="Verdana" w:hAnsi="Verdana"/>
                <w:b/>
                <w:sz w:val="20"/>
                <w:szCs w:val="20"/>
              </w:rPr>
            </w:pPr>
            <w:r>
              <w:rPr>
                <w:rFonts w:ascii="Verdana" w:hAnsi="Verdana"/>
                <w:b/>
                <w:sz w:val="20"/>
                <w:szCs w:val="20"/>
              </w:rPr>
              <w:t>Timeline</w:t>
            </w:r>
          </w:p>
        </w:tc>
      </w:tr>
      <w:tr w:rsidR="00006F33" w14:paraId="18C9B01D" w14:textId="77777777" w:rsidTr="00006F33">
        <w:tc>
          <w:tcPr>
            <w:tcW w:w="645" w:type="dxa"/>
          </w:tcPr>
          <w:p w14:paraId="58E54F32" w14:textId="77777777" w:rsidR="00006F33" w:rsidRPr="00E16374" w:rsidRDefault="00006F33" w:rsidP="0063693E">
            <w:pPr>
              <w:rPr>
                <w:rFonts w:ascii="Calibri" w:hAnsi="Calibri" w:cs="Calibri"/>
                <w:sz w:val="22"/>
                <w:szCs w:val="22"/>
              </w:rPr>
            </w:pPr>
            <w:r>
              <w:rPr>
                <w:rFonts w:ascii="Calibri" w:hAnsi="Calibri" w:cs="Calibri"/>
                <w:sz w:val="22"/>
                <w:szCs w:val="22"/>
              </w:rPr>
              <w:t>1</w:t>
            </w:r>
          </w:p>
        </w:tc>
        <w:tc>
          <w:tcPr>
            <w:tcW w:w="3406" w:type="dxa"/>
          </w:tcPr>
          <w:p w14:paraId="701C22C1"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In relation to this, the Department’s vision statement should be reviewed. The ‘initial vision’ was to become the “number one department in the country for research, learning and teaching in the area of cultural production and critical inquiry (SR 10). It is recommended that this language in the vision statement be reviewed by the Head of Department and discussed at the retreat with a view to articulating a more precise vision and mission for the department.</w:t>
            </w:r>
          </w:p>
          <w:p w14:paraId="026E2E0B" w14:textId="77777777" w:rsidR="00006F33" w:rsidRPr="00E16374" w:rsidRDefault="00006F33" w:rsidP="0063693E">
            <w:pPr>
              <w:rPr>
                <w:rFonts w:ascii="Calibri" w:hAnsi="Calibri" w:cs="Calibri"/>
                <w:sz w:val="22"/>
                <w:szCs w:val="22"/>
              </w:rPr>
            </w:pPr>
          </w:p>
        </w:tc>
        <w:tc>
          <w:tcPr>
            <w:tcW w:w="6830" w:type="dxa"/>
          </w:tcPr>
          <w:p w14:paraId="57E90D13" w14:textId="53863EC5" w:rsidR="00006F33" w:rsidRDefault="00006F33" w:rsidP="004B291C">
            <w:pPr>
              <w:rPr>
                <w:rFonts w:ascii="Calibri" w:hAnsi="Calibri" w:cs="Calibri"/>
                <w:sz w:val="22"/>
                <w:szCs w:val="22"/>
              </w:rPr>
            </w:pPr>
            <w:r>
              <w:rPr>
                <w:rFonts w:ascii="Calibri" w:hAnsi="Calibri" w:cs="Calibri"/>
                <w:sz w:val="22"/>
                <w:szCs w:val="22"/>
              </w:rPr>
              <w:t>In progress:</w:t>
            </w:r>
            <w:r>
              <w:rPr>
                <w:rFonts w:ascii="Calibri" w:hAnsi="Calibri" w:cs="Calibri"/>
                <w:sz w:val="22"/>
                <w:szCs w:val="22"/>
              </w:rPr>
              <w:br/>
            </w:r>
            <w:r w:rsidR="0007229A">
              <w:rPr>
                <w:rFonts w:ascii="Calibri" w:hAnsi="Calibri" w:cs="Calibri"/>
                <w:sz w:val="22"/>
                <w:szCs w:val="22"/>
              </w:rPr>
              <w:t>A n</w:t>
            </w:r>
            <w:r>
              <w:rPr>
                <w:rFonts w:ascii="Calibri" w:hAnsi="Calibri" w:cs="Calibri"/>
                <w:sz w:val="22"/>
                <w:szCs w:val="22"/>
              </w:rPr>
              <w:t xml:space="preserve">ew vision statement </w:t>
            </w:r>
            <w:r w:rsidR="0007229A">
              <w:rPr>
                <w:rFonts w:ascii="Calibri" w:hAnsi="Calibri" w:cs="Calibri"/>
                <w:sz w:val="22"/>
                <w:szCs w:val="22"/>
              </w:rPr>
              <w:t xml:space="preserve">will be </w:t>
            </w:r>
            <w:r>
              <w:rPr>
                <w:rFonts w:ascii="Calibri" w:hAnsi="Calibri" w:cs="Calibri"/>
                <w:sz w:val="22"/>
                <w:szCs w:val="22"/>
              </w:rPr>
              <w:t xml:space="preserve">co-ordinated in response to </w:t>
            </w:r>
            <w:r w:rsidR="0007229A">
              <w:rPr>
                <w:rFonts w:ascii="Calibri" w:hAnsi="Calibri" w:cs="Calibri"/>
                <w:sz w:val="22"/>
                <w:szCs w:val="22"/>
              </w:rPr>
              <w:t>the Vice Chancellor’s new</w:t>
            </w:r>
            <w:r>
              <w:rPr>
                <w:rFonts w:ascii="Calibri" w:hAnsi="Calibri" w:cs="Calibri"/>
                <w:sz w:val="22"/>
                <w:szCs w:val="22"/>
              </w:rPr>
              <w:t xml:space="preserve"> strategic vision</w:t>
            </w:r>
            <w:r w:rsidR="0007229A">
              <w:rPr>
                <w:rFonts w:ascii="Calibri" w:hAnsi="Calibri" w:cs="Calibri"/>
                <w:sz w:val="22"/>
                <w:szCs w:val="22"/>
              </w:rPr>
              <w:t xml:space="preserve"> for Macquarie.</w:t>
            </w:r>
            <w:r>
              <w:rPr>
                <w:rFonts w:ascii="Calibri" w:hAnsi="Calibri" w:cs="Calibri"/>
                <w:sz w:val="22"/>
                <w:szCs w:val="22"/>
              </w:rPr>
              <w:t xml:space="preserve"> </w:t>
            </w:r>
          </w:p>
        </w:tc>
        <w:tc>
          <w:tcPr>
            <w:tcW w:w="1843" w:type="dxa"/>
          </w:tcPr>
          <w:p w14:paraId="22A76AC6" w14:textId="77777777" w:rsidR="00006F33" w:rsidRDefault="00006F33" w:rsidP="0063693E">
            <w:pPr>
              <w:rPr>
                <w:rFonts w:ascii="Calibri" w:hAnsi="Calibri" w:cs="Calibri"/>
                <w:sz w:val="22"/>
                <w:szCs w:val="22"/>
              </w:rPr>
            </w:pPr>
            <w:r>
              <w:rPr>
                <w:rFonts w:ascii="Calibri" w:hAnsi="Calibri" w:cs="Calibri"/>
                <w:sz w:val="22"/>
                <w:szCs w:val="22"/>
              </w:rPr>
              <w:t>HOD</w:t>
            </w:r>
          </w:p>
          <w:p w14:paraId="63FFB8B8" w14:textId="645E55FD" w:rsidR="004B291C" w:rsidRDefault="004B291C" w:rsidP="0063693E">
            <w:pPr>
              <w:rPr>
                <w:rFonts w:ascii="Calibri" w:hAnsi="Calibri" w:cs="Calibri"/>
                <w:sz w:val="22"/>
                <w:szCs w:val="22"/>
              </w:rPr>
            </w:pPr>
            <w:r>
              <w:rPr>
                <w:rFonts w:ascii="Calibri" w:hAnsi="Calibri" w:cs="Calibri"/>
                <w:sz w:val="22"/>
                <w:szCs w:val="22"/>
              </w:rPr>
              <w:t>Dept Executive</w:t>
            </w:r>
          </w:p>
          <w:p w14:paraId="0BB7E262" w14:textId="77777777" w:rsidR="00006F33" w:rsidRPr="00E16374" w:rsidRDefault="00006F33" w:rsidP="0063693E">
            <w:pPr>
              <w:rPr>
                <w:rFonts w:ascii="Calibri" w:hAnsi="Calibri" w:cs="Calibri"/>
                <w:sz w:val="22"/>
                <w:szCs w:val="22"/>
              </w:rPr>
            </w:pPr>
          </w:p>
        </w:tc>
        <w:tc>
          <w:tcPr>
            <w:tcW w:w="1450" w:type="dxa"/>
          </w:tcPr>
          <w:p w14:paraId="287482C6" w14:textId="77777777" w:rsidR="00006F33" w:rsidRPr="00E16374" w:rsidRDefault="00006F33" w:rsidP="0063693E">
            <w:pPr>
              <w:rPr>
                <w:rFonts w:ascii="Calibri" w:hAnsi="Calibri" w:cs="Calibri"/>
                <w:sz w:val="22"/>
                <w:szCs w:val="22"/>
              </w:rPr>
            </w:pPr>
            <w:r>
              <w:rPr>
                <w:rFonts w:ascii="Calibri" w:hAnsi="Calibri" w:cs="Calibri"/>
                <w:sz w:val="22"/>
                <w:szCs w:val="22"/>
              </w:rPr>
              <w:t>Early 2014</w:t>
            </w:r>
          </w:p>
        </w:tc>
      </w:tr>
      <w:tr w:rsidR="00006F33" w14:paraId="4FA66576" w14:textId="77777777" w:rsidTr="00006F33">
        <w:tc>
          <w:tcPr>
            <w:tcW w:w="645" w:type="dxa"/>
          </w:tcPr>
          <w:p w14:paraId="0C75F545" w14:textId="77777777" w:rsidR="00006F33" w:rsidRPr="00E16374" w:rsidRDefault="00006F33" w:rsidP="0063693E">
            <w:pPr>
              <w:rPr>
                <w:rFonts w:ascii="Calibri" w:hAnsi="Calibri" w:cs="Calibri"/>
                <w:sz w:val="22"/>
                <w:szCs w:val="22"/>
              </w:rPr>
            </w:pPr>
            <w:r>
              <w:rPr>
                <w:rFonts w:ascii="Calibri" w:hAnsi="Calibri" w:cs="Calibri"/>
                <w:sz w:val="22"/>
                <w:szCs w:val="22"/>
              </w:rPr>
              <w:t>2</w:t>
            </w:r>
          </w:p>
        </w:tc>
        <w:tc>
          <w:tcPr>
            <w:tcW w:w="3406" w:type="dxa"/>
          </w:tcPr>
          <w:p w14:paraId="244F1C67"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 xml:space="preserve">Professional Development Reviews (PDRs) are currently undertaken by Discipline Leaders, some of whom are still relatively junior staff. It is </w:t>
            </w:r>
            <w:r w:rsidRPr="00801950">
              <w:rPr>
                <w:rFonts w:ascii="Calibri" w:hAnsi="Calibri" w:cs="Calibri"/>
                <w:sz w:val="22"/>
                <w:szCs w:val="22"/>
              </w:rPr>
              <w:lastRenderedPageBreak/>
              <w:t>recommended that the Department turn to the professoriate to formalize a mentorship and leadership role in this area, and have PDRs assigned to these staff.</w:t>
            </w:r>
          </w:p>
          <w:p w14:paraId="0A016813" w14:textId="77777777" w:rsidR="00006F33" w:rsidRPr="00E16374" w:rsidRDefault="00006F33" w:rsidP="0063693E">
            <w:pPr>
              <w:rPr>
                <w:rFonts w:ascii="Calibri" w:hAnsi="Calibri" w:cs="Calibri"/>
                <w:sz w:val="22"/>
                <w:szCs w:val="22"/>
              </w:rPr>
            </w:pPr>
          </w:p>
        </w:tc>
        <w:tc>
          <w:tcPr>
            <w:tcW w:w="6830" w:type="dxa"/>
          </w:tcPr>
          <w:p w14:paraId="73024D68" w14:textId="054C87BB" w:rsidR="00006F33" w:rsidRDefault="00006F33" w:rsidP="00006F33">
            <w:pPr>
              <w:rPr>
                <w:rFonts w:ascii="Calibri" w:hAnsi="Calibri" w:cs="Calibri"/>
                <w:sz w:val="22"/>
                <w:szCs w:val="22"/>
              </w:rPr>
            </w:pPr>
            <w:r>
              <w:rPr>
                <w:rFonts w:ascii="Calibri" w:hAnsi="Calibri" w:cs="Calibri"/>
                <w:sz w:val="22"/>
                <w:szCs w:val="22"/>
              </w:rPr>
              <w:lastRenderedPageBreak/>
              <w:t>Agreed:</w:t>
            </w:r>
            <w:r>
              <w:rPr>
                <w:rFonts w:ascii="Calibri" w:hAnsi="Calibri" w:cs="Calibri"/>
                <w:sz w:val="22"/>
                <w:szCs w:val="22"/>
              </w:rPr>
              <w:br/>
              <w:t>The transfer of res</w:t>
            </w:r>
            <w:r w:rsidR="004B291C">
              <w:rPr>
                <w:rFonts w:ascii="Calibri" w:hAnsi="Calibri" w:cs="Calibri"/>
                <w:sz w:val="22"/>
                <w:szCs w:val="22"/>
              </w:rPr>
              <w:t>ponsibility will take place in August</w:t>
            </w:r>
            <w:r>
              <w:rPr>
                <w:rFonts w:ascii="Calibri" w:hAnsi="Calibri" w:cs="Calibri"/>
                <w:sz w:val="22"/>
                <w:szCs w:val="22"/>
              </w:rPr>
              <w:t xml:space="preserve"> 2013.</w:t>
            </w:r>
            <w:r>
              <w:rPr>
                <w:rFonts w:ascii="Calibri" w:hAnsi="Calibri" w:cs="Calibri"/>
                <w:sz w:val="22"/>
                <w:szCs w:val="22"/>
              </w:rPr>
              <w:br/>
              <w:t xml:space="preserve">HOD will remain responsible for PDRs of </w:t>
            </w:r>
            <w:r w:rsidR="004B291C">
              <w:rPr>
                <w:rFonts w:ascii="Calibri" w:hAnsi="Calibri" w:cs="Calibri"/>
                <w:sz w:val="22"/>
                <w:szCs w:val="22"/>
              </w:rPr>
              <w:t xml:space="preserve">Professors, </w:t>
            </w:r>
            <w:r>
              <w:rPr>
                <w:rFonts w:ascii="Calibri" w:hAnsi="Calibri" w:cs="Calibri"/>
                <w:sz w:val="22"/>
                <w:szCs w:val="22"/>
              </w:rPr>
              <w:t>Directors, Technical Manager and Admin staff.</w:t>
            </w:r>
            <w:r>
              <w:rPr>
                <w:rFonts w:ascii="Calibri" w:hAnsi="Calibri" w:cs="Calibri"/>
                <w:sz w:val="22"/>
                <w:szCs w:val="22"/>
              </w:rPr>
              <w:br/>
            </w:r>
            <w:r>
              <w:rPr>
                <w:rFonts w:ascii="Calibri" w:hAnsi="Calibri" w:cs="Calibri"/>
                <w:sz w:val="22"/>
                <w:szCs w:val="22"/>
              </w:rPr>
              <w:lastRenderedPageBreak/>
              <w:t xml:space="preserve">Professoriate will become responsible for PDRs of </w:t>
            </w:r>
            <w:r w:rsidR="004B291C">
              <w:rPr>
                <w:rFonts w:ascii="Calibri" w:hAnsi="Calibri" w:cs="Calibri"/>
                <w:sz w:val="22"/>
                <w:szCs w:val="22"/>
              </w:rPr>
              <w:t xml:space="preserve">all other </w:t>
            </w:r>
            <w:r>
              <w:rPr>
                <w:rFonts w:ascii="Calibri" w:hAnsi="Calibri" w:cs="Calibri"/>
                <w:sz w:val="22"/>
                <w:szCs w:val="22"/>
              </w:rPr>
              <w:t>academic staff.</w:t>
            </w:r>
            <w:r w:rsidR="004B291C">
              <w:rPr>
                <w:rFonts w:ascii="Calibri" w:hAnsi="Calibri" w:cs="Calibri"/>
                <w:sz w:val="22"/>
                <w:szCs w:val="22"/>
              </w:rPr>
              <w:t xml:space="preserve"> The people they conduct PDRs with will be different to those people they are officially mentoring.</w:t>
            </w:r>
          </w:p>
          <w:p w14:paraId="3A608AF0" w14:textId="77777777" w:rsidR="00006F33" w:rsidRPr="00E16374" w:rsidRDefault="00006F33" w:rsidP="0063693E">
            <w:pPr>
              <w:rPr>
                <w:rFonts w:ascii="Calibri" w:hAnsi="Calibri" w:cs="Calibri"/>
                <w:sz w:val="22"/>
                <w:szCs w:val="22"/>
              </w:rPr>
            </w:pPr>
            <w:r>
              <w:rPr>
                <w:rFonts w:ascii="Calibri" w:hAnsi="Calibri" w:cs="Calibri"/>
                <w:sz w:val="22"/>
                <w:szCs w:val="22"/>
              </w:rPr>
              <w:t xml:space="preserve"> </w:t>
            </w:r>
          </w:p>
        </w:tc>
        <w:tc>
          <w:tcPr>
            <w:tcW w:w="1843" w:type="dxa"/>
          </w:tcPr>
          <w:p w14:paraId="24BEF247" w14:textId="77777777" w:rsidR="00006F33" w:rsidRPr="00E16374" w:rsidRDefault="00006F33" w:rsidP="0063693E">
            <w:pPr>
              <w:rPr>
                <w:rFonts w:ascii="Calibri" w:hAnsi="Calibri" w:cs="Calibri"/>
                <w:sz w:val="22"/>
                <w:szCs w:val="22"/>
              </w:rPr>
            </w:pPr>
            <w:r>
              <w:rPr>
                <w:rFonts w:ascii="Calibri" w:hAnsi="Calibri" w:cs="Calibri"/>
                <w:sz w:val="22"/>
                <w:szCs w:val="22"/>
              </w:rPr>
              <w:lastRenderedPageBreak/>
              <w:t>HOD</w:t>
            </w:r>
          </w:p>
        </w:tc>
        <w:tc>
          <w:tcPr>
            <w:tcW w:w="1450" w:type="dxa"/>
          </w:tcPr>
          <w:p w14:paraId="4C616682" w14:textId="62B6FB93" w:rsidR="00006F33" w:rsidRPr="00E16374" w:rsidRDefault="004B291C" w:rsidP="00FB3CFC">
            <w:pPr>
              <w:rPr>
                <w:rFonts w:ascii="Calibri" w:hAnsi="Calibri" w:cs="Calibri"/>
                <w:sz w:val="22"/>
                <w:szCs w:val="22"/>
              </w:rPr>
            </w:pPr>
            <w:r>
              <w:rPr>
                <w:rFonts w:ascii="Calibri" w:hAnsi="Calibri" w:cs="Calibri"/>
                <w:sz w:val="22"/>
                <w:szCs w:val="22"/>
              </w:rPr>
              <w:t>August</w:t>
            </w:r>
            <w:r w:rsidR="00006F33">
              <w:rPr>
                <w:rFonts w:ascii="Calibri" w:hAnsi="Calibri" w:cs="Calibri"/>
                <w:sz w:val="22"/>
                <w:szCs w:val="22"/>
              </w:rPr>
              <w:t xml:space="preserve"> 2013</w:t>
            </w:r>
          </w:p>
        </w:tc>
      </w:tr>
      <w:tr w:rsidR="00006F33" w14:paraId="515AD74C" w14:textId="77777777" w:rsidTr="00006F33">
        <w:tc>
          <w:tcPr>
            <w:tcW w:w="645" w:type="dxa"/>
          </w:tcPr>
          <w:p w14:paraId="3D8F50B6" w14:textId="77777777" w:rsidR="00006F33" w:rsidRPr="00E16374" w:rsidRDefault="00006F33" w:rsidP="0063693E">
            <w:pPr>
              <w:rPr>
                <w:rFonts w:ascii="Calibri" w:hAnsi="Calibri" w:cs="Calibri"/>
                <w:sz w:val="22"/>
                <w:szCs w:val="22"/>
              </w:rPr>
            </w:pPr>
            <w:r>
              <w:rPr>
                <w:rFonts w:ascii="Calibri" w:hAnsi="Calibri" w:cs="Calibri"/>
                <w:sz w:val="22"/>
                <w:szCs w:val="22"/>
              </w:rPr>
              <w:lastRenderedPageBreak/>
              <w:t>3</w:t>
            </w:r>
          </w:p>
        </w:tc>
        <w:tc>
          <w:tcPr>
            <w:tcW w:w="3406" w:type="dxa"/>
          </w:tcPr>
          <w:p w14:paraId="3E181EB9"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The panel further recommends that the current discipline structure be reviewed: that the current groupings be dissolved and reformed to better reflect the interdisciplinary activity in the L&amp;T and research and to reverse the impact of ‘missed opportunities’ ( staff submission) in the current arrangements.</w:t>
            </w:r>
          </w:p>
          <w:p w14:paraId="3E5F796C" w14:textId="77777777" w:rsidR="00006F33" w:rsidRPr="00E16374" w:rsidRDefault="00006F33" w:rsidP="0063693E">
            <w:pPr>
              <w:rPr>
                <w:rFonts w:ascii="Calibri" w:hAnsi="Calibri" w:cs="Calibri"/>
                <w:sz w:val="22"/>
                <w:szCs w:val="22"/>
              </w:rPr>
            </w:pPr>
          </w:p>
        </w:tc>
        <w:tc>
          <w:tcPr>
            <w:tcW w:w="6830" w:type="dxa"/>
          </w:tcPr>
          <w:p w14:paraId="6FC1F262" w14:textId="77777777" w:rsidR="00006F33" w:rsidRPr="00E16374" w:rsidRDefault="00006F33" w:rsidP="00534CE7">
            <w:pPr>
              <w:rPr>
                <w:rFonts w:ascii="Calibri" w:hAnsi="Calibri" w:cs="Calibri"/>
                <w:sz w:val="22"/>
                <w:szCs w:val="22"/>
              </w:rPr>
            </w:pPr>
            <w:r>
              <w:rPr>
                <w:rFonts w:ascii="Calibri" w:hAnsi="Calibri" w:cs="Calibri"/>
                <w:sz w:val="22"/>
                <w:szCs w:val="22"/>
              </w:rPr>
              <w:t xml:space="preserve">Review of discipline structure has commenced.  Discussions were held at the Department retreat in April 2013. </w:t>
            </w:r>
            <w:r w:rsidR="00534CE7">
              <w:rPr>
                <w:rFonts w:ascii="Calibri" w:hAnsi="Calibri" w:cs="Calibri"/>
                <w:sz w:val="22"/>
                <w:szCs w:val="22"/>
              </w:rPr>
              <w:t>In response to ideas proposed in these discussions t</w:t>
            </w:r>
            <w:r>
              <w:rPr>
                <w:rFonts w:ascii="Calibri" w:hAnsi="Calibri" w:cs="Calibri"/>
                <w:sz w:val="22"/>
                <w:szCs w:val="22"/>
              </w:rPr>
              <w:t xml:space="preserve">he Executive will provide a number of </w:t>
            </w:r>
            <w:r w:rsidR="00534CE7">
              <w:rPr>
                <w:rFonts w:ascii="Calibri" w:hAnsi="Calibri" w:cs="Calibri"/>
                <w:sz w:val="22"/>
                <w:szCs w:val="22"/>
              </w:rPr>
              <w:t>detailed</w:t>
            </w:r>
            <w:r w:rsidR="000F54C3">
              <w:rPr>
                <w:rFonts w:ascii="Calibri" w:hAnsi="Calibri" w:cs="Calibri"/>
                <w:sz w:val="22"/>
                <w:szCs w:val="22"/>
              </w:rPr>
              <w:t xml:space="preserve"> </w:t>
            </w:r>
            <w:r>
              <w:rPr>
                <w:rFonts w:ascii="Calibri" w:hAnsi="Calibri" w:cs="Calibri"/>
                <w:sz w:val="22"/>
                <w:szCs w:val="22"/>
              </w:rPr>
              <w:t xml:space="preserve">models for </w:t>
            </w:r>
            <w:r w:rsidR="000F54C3">
              <w:rPr>
                <w:rFonts w:ascii="Calibri" w:hAnsi="Calibri" w:cs="Calibri"/>
                <w:sz w:val="22"/>
                <w:szCs w:val="22"/>
              </w:rPr>
              <w:t>consideration by the Department, with the new structure to be agreed and implemented by 1 Jan 2014.</w:t>
            </w:r>
          </w:p>
        </w:tc>
        <w:tc>
          <w:tcPr>
            <w:tcW w:w="1843" w:type="dxa"/>
          </w:tcPr>
          <w:p w14:paraId="7E7C84BF" w14:textId="77777777" w:rsidR="00006F33" w:rsidRDefault="000F54C3" w:rsidP="0063693E">
            <w:pPr>
              <w:rPr>
                <w:rFonts w:ascii="Calibri" w:hAnsi="Calibri" w:cs="Calibri"/>
                <w:sz w:val="22"/>
                <w:szCs w:val="22"/>
              </w:rPr>
            </w:pPr>
            <w:r>
              <w:rPr>
                <w:rFonts w:ascii="Calibri" w:hAnsi="Calibri" w:cs="Calibri"/>
                <w:sz w:val="22"/>
                <w:szCs w:val="22"/>
              </w:rPr>
              <w:t>HOD</w:t>
            </w:r>
          </w:p>
          <w:p w14:paraId="09FD8A00" w14:textId="1215C160" w:rsidR="000F54C3" w:rsidRPr="00E16374" w:rsidRDefault="004B291C" w:rsidP="0063693E">
            <w:pPr>
              <w:rPr>
                <w:rFonts w:ascii="Calibri" w:hAnsi="Calibri" w:cs="Calibri"/>
                <w:sz w:val="22"/>
                <w:szCs w:val="22"/>
              </w:rPr>
            </w:pPr>
            <w:r>
              <w:rPr>
                <w:rFonts w:ascii="Calibri" w:hAnsi="Calibri" w:cs="Calibri"/>
                <w:sz w:val="22"/>
                <w:szCs w:val="22"/>
              </w:rPr>
              <w:t xml:space="preserve">Dept </w:t>
            </w:r>
            <w:r w:rsidR="000F54C3">
              <w:rPr>
                <w:rFonts w:ascii="Calibri" w:hAnsi="Calibri" w:cs="Calibri"/>
                <w:sz w:val="22"/>
                <w:szCs w:val="22"/>
              </w:rPr>
              <w:t>Executive</w:t>
            </w:r>
          </w:p>
        </w:tc>
        <w:tc>
          <w:tcPr>
            <w:tcW w:w="1450" w:type="dxa"/>
          </w:tcPr>
          <w:p w14:paraId="5EA3EA28" w14:textId="77777777" w:rsidR="00006F33" w:rsidRPr="00E16374" w:rsidRDefault="000F54C3" w:rsidP="00EB04EB">
            <w:pPr>
              <w:rPr>
                <w:rFonts w:ascii="Calibri" w:hAnsi="Calibri" w:cs="Calibri"/>
                <w:sz w:val="22"/>
                <w:szCs w:val="22"/>
              </w:rPr>
            </w:pPr>
            <w:r>
              <w:rPr>
                <w:rFonts w:ascii="Calibri" w:hAnsi="Calibri" w:cs="Calibri"/>
                <w:sz w:val="22"/>
                <w:szCs w:val="22"/>
              </w:rPr>
              <w:t>1 Jan 2014</w:t>
            </w:r>
          </w:p>
        </w:tc>
      </w:tr>
      <w:tr w:rsidR="00006F33" w:rsidRPr="00E16374" w14:paraId="70C79638" w14:textId="77777777" w:rsidTr="00006F33">
        <w:tc>
          <w:tcPr>
            <w:tcW w:w="645" w:type="dxa"/>
            <w:tcBorders>
              <w:top w:val="single" w:sz="4" w:space="0" w:color="auto"/>
              <w:left w:val="single" w:sz="4" w:space="0" w:color="auto"/>
              <w:bottom w:val="single" w:sz="4" w:space="0" w:color="auto"/>
              <w:right w:val="single" w:sz="4" w:space="0" w:color="auto"/>
            </w:tcBorders>
          </w:tcPr>
          <w:p w14:paraId="2502657D" w14:textId="77777777" w:rsidR="00006F33" w:rsidRPr="00E16374" w:rsidRDefault="00006F33" w:rsidP="009A1B75">
            <w:pPr>
              <w:rPr>
                <w:rFonts w:ascii="Calibri" w:hAnsi="Calibri" w:cs="Calibri"/>
                <w:sz w:val="22"/>
                <w:szCs w:val="22"/>
              </w:rPr>
            </w:pPr>
            <w:r>
              <w:rPr>
                <w:rFonts w:ascii="Calibri" w:hAnsi="Calibri" w:cs="Calibri"/>
                <w:sz w:val="22"/>
                <w:szCs w:val="22"/>
              </w:rPr>
              <w:t>4</w:t>
            </w:r>
          </w:p>
        </w:tc>
        <w:tc>
          <w:tcPr>
            <w:tcW w:w="3406" w:type="dxa"/>
            <w:tcBorders>
              <w:top w:val="single" w:sz="4" w:space="0" w:color="auto"/>
              <w:left w:val="single" w:sz="4" w:space="0" w:color="auto"/>
              <w:bottom w:val="single" w:sz="4" w:space="0" w:color="auto"/>
              <w:right w:val="single" w:sz="4" w:space="0" w:color="auto"/>
            </w:tcBorders>
          </w:tcPr>
          <w:p w14:paraId="67FC2EF2"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 xml:space="preserve">It is recommended that there be a review of the role and appointment of Discipline Leaders, specifically that there be a spill of current discipline leadership positions and that the role of discipline or group leader be revised and clarified. It is recommended that this role be de-coupled from that of the Program Director and that in future this position should be appointed by the Head of Department and that </w:t>
            </w:r>
            <w:r w:rsidRPr="00801950">
              <w:rPr>
                <w:rFonts w:ascii="Calibri" w:hAnsi="Calibri" w:cs="Calibri"/>
                <w:sz w:val="22"/>
                <w:szCs w:val="22"/>
              </w:rPr>
              <w:lastRenderedPageBreak/>
              <w:t>proper advice and training be provided to support these roles.</w:t>
            </w:r>
          </w:p>
          <w:p w14:paraId="50A1DF24" w14:textId="77777777" w:rsidR="00006F33" w:rsidRPr="00E16374" w:rsidRDefault="00006F33" w:rsidP="00801950">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6CFA5120" w14:textId="77777777" w:rsidR="00006F33" w:rsidRPr="00E16374" w:rsidRDefault="000F54C3" w:rsidP="009A1B75">
            <w:pPr>
              <w:rPr>
                <w:rFonts w:ascii="Calibri" w:hAnsi="Calibri" w:cs="Calibri"/>
                <w:sz w:val="22"/>
                <w:szCs w:val="22"/>
              </w:rPr>
            </w:pPr>
            <w:r>
              <w:rPr>
                <w:rFonts w:ascii="Calibri" w:hAnsi="Calibri" w:cs="Calibri"/>
                <w:sz w:val="22"/>
                <w:szCs w:val="22"/>
              </w:rPr>
              <w:lastRenderedPageBreak/>
              <w:t>Commenced under recommendation 3.</w:t>
            </w:r>
          </w:p>
        </w:tc>
        <w:tc>
          <w:tcPr>
            <w:tcW w:w="1843" w:type="dxa"/>
            <w:tcBorders>
              <w:top w:val="single" w:sz="4" w:space="0" w:color="auto"/>
              <w:left w:val="single" w:sz="4" w:space="0" w:color="auto"/>
              <w:bottom w:val="single" w:sz="4" w:space="0" w:color="auto"/>
              <w:right w:val="single" w:sz="4" w:space="0" w:color="auto"/>
            </w:tcBorders>
          </w:tcPr>
          <w:p w14:paraId="5A072BCA" w14:textId="77777777" w:rsidR="00006F33" w:rsidRPr="00E16374" w:rsidRDefault="000F54C3" w:rsidP="009A1B75">
            <w:pPr>
              <w:rPr>
                <w:rFonts w:ascii="Calibri" w:hAnsi="Calibri" w:cs="Calibri"/>
                <w:sz w:val="22"/>
                <w:szCs w:val="22"/>
              </w:rPr>
            </w:pPr>
            <w:r>
              <w:rPr>
                <w:rFonts w:ascii="Calibri" w:hAnsi="Calibri" w:cs="Calibri"/>
                <w:sz w:val="22"/>
                <w:szCs w:val="22"/>
              </w:rPr>
              <w:t>HOD</w:t>
            </w:r>
          </w:p>
        </w:tc>
        <w:tc>
          <w:tcPr>
            <w:tcW w:w="1450" w:type="dxa"/>
            <w:tcBorders>
              <w:top w:val="single" w:sz="4" w:space="0" w:color="auto"/>
              <w:left w:val="single" w:sz="4" w:space="0" w:color="auto"/>
              <w:bottom w:val="single" w:sz="4" w:space="0" w:color="auto"/>
              <w:right w:val="single" w:sz="4" w:space="0" w:color="auto"/>
            </w:tcBorders>
          </w:tcPr>
          <w:p w14:paraId="6027C543" w14:textId="77777777" w:rsidR="00006F33" w:rsidRPr="00E16374" w:rsidRDefault="000F54C3" w:rsidP="009A1B75">
            <w:pPr>
              <w:rPr>
                <w:rFonts w:ascii="Calibri" w:hAnsi="Calibri" w:cs="Calibri"/>
                <w:sz w:val="22"/>
                <w:szCs w:val="22"/>
              </w:rPr>
            </w:pPr>
            <w:r>
              <w:rPr>
                <w:rFonts w:ascii="Calibri" w:hAnsi="Calibri" w:cs="Calibri"/>
                <w:sz w:val="22"/>
                <w:szCs w:val="22"/>
              </w:rPr>
              <w:t>1 Jan 2014</w:t>
            </w:r>
          </w:p>
        </w:tc>
      </w:tr>
      <w:tr w:rsidR="00006F33" w:rsidRPr="00E16374" w14:paraId="3975C295" w14:textId="77777777" w:rsidTr="00006F33">
        <w:tc>
          <w:tcPr>
            <w:tcW w:w="645" w:type="dxa"/>
            <w:tcBorders>
              <w:top w:val="single" w:sz="4" w:space="0" w:color="auto"/>
              <w:left w:val="single" w:sz="4" w:space="0" w:color="auto"/>
              <w:bottom w:val="single" w:sz="4" w:space="0" w:color="auto"/>
              <w:right w:val="single" w:sz="4" w:space="0" w:color="auto"/>
            </w:tcBorders>
          </w:tcPr>
          <w:p w14:paraId="33DADE5A" w14:textId="77777777" w:rsidR="00006F33" w:rsidRPr="00E16374" w:rsidRDefault="00006F33" w:rsidP="009A1B75">
            <w:pPr>
              <w:rPr>
                <w:rFonts w:ascii="Calibri" w:hAnsi="Calibri" w:cs="Calibri"/>
                <w:sz w:val="22"/>
                <w:szCs w:val="22"/>
              </w:rPr>
            </w:pPr>
            <w:r>
              <w:rPr>
                <w:rFonts w:ascii="Calibri" w:hAnsi="Calibri" w:cs="Calibri"/>
                <w:sz w:val="22"/>
                <w:szCs w:val="22"/>
              </w:rPr>
              <w:lastRenderedPageBreak/>
              <w:t>5</w:t>
            </w:r>
          </w:p>
        </w:tc>
        <w:tc>
          <w:tcPr>
            <w:tcW w:w="3406" w:type="dxa"/>
            <w:tcBorders>
              <w:top w:val="single" w:sz="4" w:space="0" w:color="auto"/>
              <w:left w:val="single" w:sz="4" w:space="0" w:color="auto"/>
              <w:bottom w:val="single" w:sz="4" w:space="0" w:color="auto"/>
              <w:right w:val="single" w:sz="4" w:space="0" w:color="auto"/>
            </w:tcBorders>
          </w:tcPr>
          <w:p w14:paraId="6E90EDD9" w14:textId="4682DA00" w:rsidR="00006F33" w:rsidRPr="00801950" w:rsidRDefault="00006F33" w:rsidP="00801950">
            <w:pPr>
              <w:rPr>
                <w:rFonts w:ascii="Calibri" w:hAnsi="Calibri" w:cs="Calibri"/>
                <w:sz w:val="22"/>
                <w:szCs w:val="22"/>
              </w:rPr>
            </w:pPr>
            <w:r w:rsidRPr="00801950">
              <w:rPr>
                <w:rFonts w:ascii="Calibri" w:hAnsi="Calibri" w:cs="Calibri"/>
                <w:sz w:val="22"/>
                <w:szCs w:val="22"/>
              </w:rPr>
              <w:t>It is recommended that the authority of the L&amp;T Director be enhanced, for example, by coupling the Deputy Head position with that of the L&amp;T Director, and that this role be refined to include oversight of the undergraduate program, the masters coursework programs and the MRES and responsibi</w:t>
            </w:r>
            <w:r w:rsidR="006E7549">
              <w:rPr>
                <w:rFonts w:ascii="Calibri" w:hAnsi="Calibri" w:cs="Calibri"/>
                <w:sz w:val="22"/>
                <w:szCs w:val="22"/>
              </w:rPr>
              <w:t>lity for the strategic planning</w:t>
            </w:r>
            <w:r w:rsidRPr="00801950">
              <w:rPr>
                <w:rFonts w:ascii="Calibri" w:hAnsi="Calibri" w:cs="Calibri"/>
                <w:sz w:val="22"/>
                <w:szCs w:val="22"/>
              </w:rPr>
              <w:t xml:space="preserve"> in these programs.</w:t>
            </w:r>
          </w:p>
          <w:p w14:paraId="49017ECA" w14:textId="77777777" w:rsidR="00006F33" w:rsidRPr="00E16374" w:rsidRDefault="00006F33" w:rsidP="009A1B75">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5969E705" w14:textId="44339472" w:rsidR="00006F33" w:rsidRPr="00E16374" w:rsidRDefault="006E7549" w:rsidP="006E7549">
            <w:pPr>
              <w:rPr>
                <w:rFonts w:ascii="Calibri" w:hAnsi="Calibri" w:cs="Calibri"/>
                <w:sz w:val="22"/>
                <w:szCs w:val="22"/>
              </w:rPr>
            </w:pPr>
            <w:r>
              <w:rPr>
                <w:rFonts w:ascii="Calibri" w:hAnsi="Calibri" w:cs="Calibri"/>
                <w:sz w:val="22"/>
                <w:szCs w:val="22"/>
              </w:rPr>
              <w:t xml:space="preserve">Not agreed. Rather it is felt that the </w:t>
            </w:r>
            <w:r w:rsidR="00534CE7">
              <w:rPr>
                <w:rFonts w:ascii="Calibri" w:hAnsi="Calibri" w:cs="Calibri"/>
                <w:sz w:val="22"/>
                <w:szCs w:val="22"/>
              </w:rPr>
              <w:t xml:space="preserve">HOD </w:t>
            </w:r>
            <w:r>
              <w:rPr>
                <w:rFonts w:ascii="Calibri" w:hAnsi="Calibri" w:cs="Calibri"/>
                <w:sz w:val="22"/>
                <w:szCs w:val="22"/>
              </w:rPr>
              <w:t>should</w:t>
            </w:r>
            <w:r w:rsidR="00534CE7">
              <w:rPr>
                <w:rFonts w:ascii="Calibri" w:hAnsi="Calibri" w:cs="Calibri"/>
                <w:sz w:val="22"/>
                <w:szCs w:val="22"/>
              </w:rPr>
              <w:t xml:space="preserve"> appoint from Directors </w:t>
            </w:r>
            <w:r>
              <w:rPr>
                <w:rFonts w:ascii="Calibri" w:hAnsi="Calibri" w:cs="Calibri"/>
                <w:sz w:val="22"/>
                <w:szCs w:val="22"/>
              </w:rPr>
              <w:t xml:space="preserve">(3) </w:t>
            </w:r>
            <w:r w:rsidR="00534CE7">
              <w:rPr>
                <w:rFonts w:ascii="Calibri" w:hAnsi="Calibri" w:cs="Calibri"/>
                <w:sz w:val="22"/>
                <w:szCs w:val="22"/>
              </w:rPr>
              <w:t xml:space="preserve">an </w:t>
            </w:r>
            <w:r w:rsidR="000F54C3">
              <w:rPr>
                <w:rFonts w:ascii="Calibri" w:hAnsi="Calibri" w:cs="Calibri"/>
                <w:sz w:val="22"/>
                <w:szCs w:val="22"/>
              </w:rPr>
              <w:t xml:space="preserve">Acting/Deputy HOD </w:t>
            </w:r>
            <w:r w:rsidR="00534CE7">
              <w:rPr>
                <w:rFonts w:ascii="Calibri" w:hAnsi="Calibri" w:cs="Calibri"/>
                <w:sz w:val="22"/>
                <w:szCs w:val="22"/>
              </w:rPr>
              <w:t xml:space="preserve">as required. </w:t>
            </w:r>
            <w:r>
              <w:rPr>
                <w:rFonts w:ascii="Calibri" w:hAnsi="Calibri" w:cs="Calibri"/>
                <w:sz w:val="22"/>
                <w:szCs w:val="22"/>
              </w:rPr>
              <w:t>This may well be the L&amp;T Director, but need not be so necessarily. This also replicates current Faculty practice.</w:t>
            </w:r>
          </w:p>
        </w:tc>
        <w:tc>
          <w:tcPr>
            <w:tcW w:w="1843" w:type="dxa"/>
            <w:tcBorders>
              <w:top w:val="single" w:sz="4" w:space="0" w:color="auto"/>
              <w:left w:val="single" w:sz="4" w:space="0" w:color="auto"/>
              <w:bottom w:val="single" w:sz="4" w:space="0" w:color="auto"/>
              <w:right w:val="single" w:sz="4" w:space="0" w:color="auto"/>
            </w:tcBorders>
          </w:tcPr>
          <w:p w14:paraId="4ED08A46" w14:textId="77777777" w:rsidR="00006F33" w:rsidRPr="00E16374" w:rsidRDefault="000F54C3" w:rsidP="009A1B75">
            <w:pPr>
              <w:rPr>
                <w:rFonts w:ascii="Calibri" w:hAnsi="Calibri" w:cs="Calibri"/>
                <w:sz w:val="22"/>
                <w:szCs w:val="22"/>
              </w:rPr>
            </w:pPr>
            <w:r>
              <w:rPr>
                <w:rFonts w:ascii="Calibri" w:hAnsi="Calibri" w:cs="Calibri"/>
                <w:sz w:val="22"/>
                <w:szCs w:val="22"/>
              </w:rPr>
              <w:t>HOD</w:t>
            </w:r>
          </w:p>
        </w:tc>
        <w:tc>
          <w:tcPr>
            <w:tcW w:w="1450" w:type="dxa"/>
            <w:tcBorders>
              <w:top w:val="single" w:sz="4" w:space="0" w:color="auto"/>
              <w:left w:val="single" w:sz="4" w:space="0" w:color="auto"/>
              <w:bottom w:val="single" w:sz="4" w:space="0" w:color="auto"/>
              <w:right w:val="single" w:sz="4" w:space="0" w:color="auto"/>
            </w:tcBorders>
          </w:tcPr>
          <w:p w14:paraId="31558901" w14:textId="77777777" w:rsidR="00006F33" w:rsidRPr="00E16374" w:rsidRDefault="00006F33" w:rsidP="009A1B75">
            <w:pPr>
              <w:rPr>
                <w:rFonts w:ascii="Calibri" w:hAnsi="Calibri" w:cs="Calibri"/>
                <w:sz w:val="22"/>
                <w:szCs w:val="22"/>
              </w:rPr>
            </w:pPr>
          </w:p>
        </w:tc>
      </w:tr>
      <w:tr w:rsidR="00006F33" w:rsidRPr="00E16374" w14:paraId="12242B33" w14:textId="77777777" w:rsidTr="00006F33">
        <w:tc>
          <w:tcPr>
            <w:tcW w:w="645" w:type="dxa"/>
            <w:tcBorders>
              <w:top w:val="single" w:sz="4" w:space="0" w:color="auto"/>
              <w:left w:val="single" w:sz="4" w:space="0" w:color="auto"/>
              <w:bottom w:val="single" w:sz="4" w:space="0" w:color="auto"/>
              <w:right w:val="single" w:sz="4" w:space="0" w:color="auto"/>
            </w:tcBorders>
          </w:tcPr>
          <w:p w14:paraId="75B69216" w14:textId="77777777" w:rsidR="00006F33" w:rsidRPr="00E16374" w:rsidRDefault="00006F33" w:rsidP="009A1B75">
            <w:pPr>
              <w:rPr>
                <w:rFonts w:ascii="Calibri" w:hAnsi="Calibri" w:cs="Calibri"/>
                <w:sz w:val="22"/>
                <w:szCs w:val="22"/>
              </w:rPr>
            </w:pPr>
            <w:r>
              <w:rPr>
                <w:rFonts w:ascii="Calibri" w:hAnsi="Calibri" w:cs="Calibri"/>
                <w:sz w:val="22"/>
                <w:szCs w:val="22"/>
              </w:rPr>
              <w:t>6</w:t>
            </w:r>
          </w:p>
        </w:tc>
        <w:tc>
          <w:tcPr>
            <w:tcW w:w="3406" w:type="dxa"/>
            <w:tcBorders>
              <w:top w:val="single" w:sz="4" w:space="0" w:color="auto"/>
              <w:left w:val="single" w:sz="4" w:space="0" w:color="auto"/>
              <w:bottom w:val="single" w:sz="4" w:space="0" w:color="auto"/>
              <w:right w:val="single" w:sz="4" w:space="0" w:color="auto"/>
            </w:tcBorders>
          </w:tcPr>
          <w:p w14:paraId="780F4C87"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It is recommended that the L&amp;T Committee be encouraged to consider matters other than L&amp;T compliance and to include discussion of broader issues relating to strategic planning of u/g program, the Master Program and the MRes.</w:t>
            </w:r>
          </w:p>
          <w:p w14:paraId="7DF7BEAA" w14:textId="77777777" w:rsidR="00006F33" w:rsidRPr="00E16374" w:rsidRDefault="00006F33" w:rsidP="00801950">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245A880E" w14:textId="77777777" w:rsidR="00006F33" w:rsidRPr="00E16374" w:rsidRDefault="000F54C3" w:rsidP="009A1B75">
            <w:pPr>
              <w:rPr>
                <w:rFonts w:ascii="Calibri" w:hAnsi="Calibri" w:cs="Calibri"/>
                <w:sz w:val="22"/>
                <w:szCs w:val="22"/>
              </w:rPr>
            </w:pPr>
            <w:r>
              <w:rPr>
                <w:rFonts w:ascii="Calibri" w:hAnsi="Calibri" w:cs="Calibri"/>
                <w:sz w:val="22"/>
                <w:szCs w:val="22"/>
              </w:rPr>
              <w:t xml:space="preserve">Agreed.  This is underway with L&amp;T overseeing </w:t>
            </w:r>
            <w:r w:rsidR="00534CE7">
              <w:rPr>
                <w:rFonts w:ascii="Calibri" w:hAnsi="Calibri" w:cs="Calibri"/>
                <w:sz w:val="22"/>
                <w:szCs w:val="22"/>
              </w:rPr>
              <w:t xml:space="preserve">UG </w:t>
            </w:r>
            <w:r>
              <w:rPr>
                <w:rFonts w:ascii="Calibri" w:hAnsi="Calibri" w:cs="Calibri"/>
                <w:sz w:val="22"/>
                <w:szCs w:val="22"/>
              </w:rPr>
              <w:t xml:space="preserve">Media program review and </w:t>
            </w:r>
            <w:r w:rsidR="00534CE7">
              <w:rPr>
                <w:rFonts w:ascii="Calibri" w:hAnsi="Calibri" w:cs="Calibri"/>
                <w:sz w:val="22"/>
                <w:szCs w:val="22"/>
              </w:rPr>
              <w:t xml:space="preserve">Department –wide </w:t>
            </w:r>
            <w:r>
              <w:rPr>
                <w:rFonts w:ascii="Calibri" w:hAnsi="Calibri" w:cs="Calibri"/>
                <w:sz w:val="22"/>
                <w:szCs w:val="22"/>
              </w:rPr>
              <w:t xml:space="preserve">PG </w:t>
            </w:r>
            <w:r w:rsidR="00534CE7">
              <w:rPr>
                <w:rFonts w:ascii="Calibri" w:hAnsi="Calibri" w:cs="Calibri"/>
                <w:sz w:val="22"/>
                <w:szCs w:val="22"/>
              </w:rPr>
              <w:t xml:space="preserve">program </w:t>
            </w:r>
            <w:r>
              <w:rPr>
                <w:rFonts w:ascii="Calibri" w:hAnsi="Calibri" w:cs="Calibri"/>
                <w:sz w:val="22"/>
                <w:szCs w:val="22"/>
              </w:rPr>
              <w:t>review in preparation for TEQSA.</w:t>
            </w:r>
          </w:p>
        </w:tc>
        <w:tc>
          <w:tcPr>
            <w:tcW w:w="1843" w:type="dxa"/>
            <w:tcBorders>
              <w:top w:val="single" w:sz="4" w:space="0" w:color="auto"/>
              <w:left w:val="single" w:sz="4" w:space="0" w:color="auto"/>
              <w:bottom w:val="single" w:sz="4" w:space="0" w:color="auto"/>
              <w:right w:val="single" w:sz="4" w:space="0" w:color="auto"/>
            </w:tcBorders>
          </w:tcPr>
          <w:p w14:paraId="40224426" w14:textId="77777777" w:rsidR="00006F33" w:rsidRPr="00E16374" w:rsidRDefault="000F54C3" w:rsidP="009A1B75">
            <w:pPr>
              <w:rPr>
                <w:rFonts w:ascii="Calibri" w:hAnsi="Calibri" w:cs="Calibri"/>
                <w:sz w:val="22"/>
                <w:szCs w:val="22"/>
              </w:rPr>
            </w:pPr>
            <w:r>
              <w:rPr>
                <w:rFonts w:ascii="Calibri" w:hAnsi="Calibri" w:cs="Calibri"/>
                <w:sz w:val="22"/>
                <w:szCs w:val="22"/>
              </w:rPr>
              <w:t>L&amp;T Director</w:t>
            </w:r>
          </w:p>
        </w:tc>
        <w:tc>
          <w:tcPr>
            <w:tcW w:w="1450" w:type="dxa"/>
            <w:tcBorders>
              <w:top w:val="single" w:sz="4" w:space="0" w:color="auto"/>
              <w:left w:val="single" w:sz="4" w:space="0" w:color="auto"/>
              <w:bottom w:val="single" w:sz="4" w:space="0" w:color="auto"/>
              <w:right w:val="single" w:sz="4" w:space="0" w:color="auto"/>
            </w:tcBorders>
          </w:tcPr>
          <w:p w14:paraId="7D9D2F15" w14:textId="77777777" w:rsidR="00006F33" w:rsidRPr="00E16374" w:rsidRDefault="000F54C3" w:rsidP="009A1B75">
            <w:pPr>
              <w:rPr>
                <w:rFonts w:ascii="Calibri" w:hAnsi="Calibri" w:cs="Calibri"/>
                <w:sz w:val="22"/>
                <w:szCs w:val="22"/>
              </w:rPr>
            </w:pPr>
            <w:r>
              <w:rPr>
                <w:rFonts w:ascii="Calibri" w:hAnsi="Calibri" w:cs="Calibri"/>
                <w:sz w:val="22"/>
                <w:szCs w:val="22"/>
              </w:rPr>
              <w:t>Underway</w:t>
            </w:r>
          </w:p>
        </w:tc>
      </w:tr>
      <w:tr w:rsidR="00006F33" w:rsidRPr="00E16374" w14:paraId="73785F77" w14:textId="77777777" w:rsidTr="00006F33">
        <w:tc>
          <w:tcPr>
            <w:tcW w:w="645" w:type="dxa"/>
            <w:tcBorders>
              <w:top w:val="single" w:sz="4" w:space="0" w:color="auto"/>
              <w:left w:val="single" w:sz="4" w:space="0" w:color="auto"/>
              <w:bottom w:val="single" w:sz="4" w:space="0" w:color="auto"/>
              <w:right w:val="single" w:sz="4" w:space="0" w:color="auto"/>
            </w:tcBorders>
          </w:tcPr>
          <w:p w14:paraId="1099ECAB" w14:textId="77777777" w:rsidR="00006F33" w:rsidRPr="00E16374" w:rsidRDefault="00006F33" w:rsidP="009A1B75">
            <w:pPr>
              <w:rPr>
                <w:rFonts w:ascii="Calibri" w:hAnsi="Calibri" w:cs="Calibri"/>
                <w:sz w:val="22"/>
                <w:szCs w:val="22"/>
              </w:rPr>
            </w:pPr>
            <w:r>
              <w:rPr>
                <w:rFonts w:ascii="Calibri" w:hAnsi="Calibri" w:cs="Calibri"/>
                <w:sz w:val="22"/>
                <w:szCs w:val="22"/>
              </w:rPr>
              <w:t>7</w:t>
            </w:r>
          </w:p>
        </w:tc>
        <w:tc>
          <w:tcPr>
            <w:tcW w:w="3406" w:type="dxa"/>
            <w:tcBorders>
              <w:top w:val="single" w:sz="4" w:space="0" w:color="auto"/>
              <w:left w:val="single" w:sz="4" w:space="0" w:color="auto"/>
              <w:bottom w:val="single" w:sz="4" w:space="0" w:color="auto"/>
              <w:right w:val="single" w:sz="4" w:space="0" w:color="auto"/>
            </w:tcBorders>
          </w:tcPr>
          <w:p w14:paraId="7C1904E1"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It is recommended that the Departmental budget should have some additional flexibility to support initiatives around the new appointments, ERA strategies and opportunities as they arise.</w:t>
            </w:r>
          </w:p>
          <w:p w14:paraId="66DD24BF" w14:textId="77777777" w:rsidR="00006F33" w:rsidRPr="00E16374" w:rsidRDefault="00006F33" w:rsidP="00801950">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4CD79AB6" w14:textId="77777777" w:rsidR="00006F33" w:rsidRPr="00E16374" w:rsidRDefault="000F54C3" w:rsidP="009A1B75">
            <w:pPr>
              <w:rPr>
                <w:rFonts w:ascii="Calibri" w:hAnsi="Calibri" w:cs="Calibri"/>
                <w:sz w:val="22"/>
                <w:szCs w:val="22"/>
              </w:rPr>
            </w:pPr>
            <w:r>
              <w:rPr>
                <w:rFonts w:ascii="Calibri" w:hAnsi="Calibri" w:cs="Calibri"/>
                <w:sz w:val="22"/>
                <w:szCs w:val="22"/>
              </w:rPr>
              <w:lastRenderedPageBreak/>
              <w:t>Agreed.</w:t>
            </w:r>
          </w:p>
        </w:tc>
        <w:tc>
          <w:tcPr>
            <w:tcW w:w="1843" w:type="dxa"/>
            <w:tcBorders>
              <w:top w:val="single" w:sz="4" w:space="0" w:color="auto"/>
              <w:left w:val="single" w:sz="4" w:space="0" w:color="auto"/>
              <w:bottom w:val="single" w:sz="4" w:space="0" w:color="auto"/>
              <w:right w:val="single" w:sz="4" w:space="0" w:color="auto"/>
            </w:tcBorders>
          </w:tcPr>
          <w:p w14:paraId="06572478" w14:textId="76840E11" w:rsidR="00006F33" w:rsidRDefault="00196DE7" w:rsidP="009A1B75">
            <w:pPr>
              <w:rPr>
                <w:rFonts w:ascii="Calibri" w:hAnsi="Calibri" w:cs="Calibri"/>
                <w:sz w:val="22"/>
                <w:szCs w:val="22"/>
              </w:rPr>
            </w:pPr>
            <w:r>
              <w:rPr>
                <w:rFonts w:ascii="Calibri" w:hAnsi="Calibri" w:cs="Calibri"/>
                <w:sz w:val="22"/>
                <w:szCs w:val="22"/>
              </w:rPr>
              <w:t>Faculty General Manager (FGM)</w:t>
            </w:r>
          </w:p>
          <w:p w14:paraId="581EB5BB" w14:textId="77777777" w:rsidR="000F54C3" w:rsidRPr="00E16374" w:rsidRDefault="000F54C3" w:rsidP="009A1B75">
            <w:pPr>
              <w:rPr>
                <w:rFonts w:ascii="Calibri" w:hAnsi="Calibri" w:cs="Calibri"/>
                <w:sz w:val="22"/>
                <w:szCs w:val="22"/>
              </w:rPr>
            </w:pPr>
          </w:p>
        </w:tc>
        <w:tc>
          <w:tcPr>
            <w:tcW w:w="1450" w:type="dxa"/>
            <w:tcBorders>
              <w:top w:val="single" w:sz="4" w:space="0" w:color="auto"/>
              <w:left w:val="single" w:sz="4" w:space="0" w:color="auto"/>
              <w:bottom w:val="single" w:sz="4" w:space="0" w:color="auto"/>
              <w:right w:val="single" w:sz="4" w:space="0" w:color="auto"/>
            </w:tcBorders>
          </w:tcPr>
          <w:p w14:paraId="2D2EB23B" w14:textId="431CA9CC" w:rsidR="00006F33" w:rsidRPr="00E16374" w:rsidRDefault="00196DE7" w:rsidP="009A1B75">
            <w:pPr>
              <w:rPr>
                <w:rFonts w:ascii="Calibri" w:hAnsi="Calibri" w:cs="Calibri"/>
                <w:sz w:val="22"/>
                <w:szCs w:val="22"/>
              </w:rPr>
            </w:pPr>
            <w:r>
              <w:rPr>
                <w:rFonts w:ascii="Calibri" w:hAnsi="Calibri" w:cs="Calibri"/>
                <w:sz w:val="22"/>
                <w:szCs w:val="22"/>
              </w:rPr>
              <w:t>Sept-Nov 2013</w:t>
            </w:r>
          </w:p>
        </w:tc>
      </w:tr>
      <w:tr w:rsidR="00006F33" w:rsidRPr="00E16374" w14:paraId="5621C53A" w14:textId="77777777" w:rsidTr="00006F33">
        <w:tc>
          <w:tcPr>
            <w:tcW w:w="645" w:type="dxa"/>
            <w:tcBorders>
              <w:top w:val="single" w:sz="4" w:space="0" w:color="auto"/>
              <w:left w:val="single" w:sz="4" w:space="0" w:color="auto"/>
              <w:bottom w:val="single" w:sz="4" w:space="0" w:color="auto"/>
              <w:right w:val="single" w:sz="4" w:space="0" w:color="auto"/>
            </w:tcBorders>
          </w:tcPr>
          <w:p w14:paraId="6BF356DB" w14:textId="77777777" w:rsidR="00006F33" w:rsidRPr="00E16374" w:rsidRDefault="00006F33" w:rsidP="009A1B75">
            <w:pPr>
              <w:rPr>
                <w:rFonts w:ascii="Calibri" w:hAnsi="Calibri" w:cs="Calibri"/>
                <w:sz w:val="22"/>
                <w:szCs w:val="22"/>
              </w:rPr>
            </w:pPr>
            <w:r>
              <w:rPr>
                <w:rFonts w:ascii="Calibri" w:hAnsi="Calibri" w:cs="Calibri"/>
                <w:sz w:val="22"/>
                <w:szCs w:val="22"/>
              </w:rPr>
              <w:lastRenderedPageBreak/>
              <w:t>8</w:t>
            </w:r>
          </w:p>
        </w:tc>
        <w:tc>
          <w:tcPr>
            <w:tcW w:w="3406" w:type="dxa"/>
            <w:tcBorders>
              <w:top w:val="single" w:sz="4" w:space="0" w:color="auto"/>
              <w:left w:val="single" w:sz="4" w:space="0" w:color="auto"/>
              <w:bottom w:val="single" w:sz="4" w:space="0" w:color="auto"/>
              <w:right w:val="single" w:sz="4" w:space="0" w:color="auto"/>
            </w:tcBorders>
          </w:tcPr>
          <w:p w14:paraId="71580EDC"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In regard to the relations to Faculty and University structures, the panel notes some confusion occasioned by double-handling issues arising from Faculty and Department admin overlap and recommends that any such double-handling issues be periodically reviewed by Head of Department and Dean with input from relevant admin staff.</w:t>
            </w:r>
          </w:p>
          <w:p w14:paraId="5A3EFF23" w14:textId="77777777" w:rsidR="00006F33" w:rsidRPr="00E16374" w:rsidRDefault="00006F33" w:rsidP="009A1B75">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3DCECD3D" w14:textId="00D3F343" w:rsidR="00006F33" w:rsidRPr="00E16374" w:rsidRDefault="009A1B75" w:rsidP="009A1B75">
            <w:pPr>
              <w:rPr>
                <w:rFonts w:ascii="Calibri" w:hAnsi="Calibri" w:cs="Calibri"/>
                <w:sz w:val="22"/>
                <w:szCs w:val="22"/>
              </w:rPr>
            </w:pPr>
            <w:r>
              <w:rPr>
                <w:rFonts w:ascii="Calibri" w:hAnsi="Calibri" w:cs="Calibri"/>
                <w:sz w:val="22"/>
                <w:szCs w:val="22"/>
              </w:rPr>
              <w:t>Agreed.</w:t>
            </w:r>
          </w:p>
        </w:tc>
        <w:tc>
          <w:tcPr>
            <w:tcW w:w="1843" w:type="dxa"/>
            <w:tcBorders>
              <w:top w:val="single" w:sz="4" w:space="0" w:color="auto"/>
              <w:left w:val="single" w:sz="4" w:space="0" w:color="auto"/>
              <w:bottom w:val="single" w:sz="4" w:space="0" w:color="auto"/>
              <w:right w:val="single" w:sz="4" w:space="0" w:color="auto"/>
            </w:tcBorders>
          </w:tcPr>
          <w:p w14:paraId="41A469BD" w14:textId="4FC588D2" w:rsidR="003B158F" w:rsidRPr="00E16374" w:rsidRDefault="009A1B75" w:rsidP="009A1B75">
            <w:pPr>
              <w:rPr>
                <w:rFonts w:ascii="Calibri" w:hAnsi="Calibri" w:cs="Calibri"/>
                <w:sz w:val="22"/>
                <w:szCs w:val="22"/>
              </w:rPr>
            </w:pPr>
            <w:r>
              <w:rPr>
                <w:rFonts w:ascii="Calibri" w:hAnsi="Calibri" w:cs="Calibri"/>
                <w:sz w:val="22"/>
                <w:szCs w:val="22"/>
              </w:rPr>
              <w:t>FGM</w:t>
            </w:r>
          </w:p>
        </w:tc>
        <w:tc>
          <w:tcPr>
            <w:tcW w:w="1450" w:type="dxa"/>
            <w:tcBorders>
              <w:top w:val="single" w:sz="4" w:space="0" w:color="auto"/>
              <w:left w:val="single" w:sz="4" w:space="0" w:color="auto"/>
              <w:bottom w:val="single" w:sz="4" w:space="0" w:color="auto"/>
              <w:right w:val="single" w:sz="4" w:space="0" w:color="auto"/>
            </w:tcBorders>
          </w:tcPr>
          <w:p w14:paraId="5B794390" w14:textId="77777777" w:rsidR="00006F33" w:rsidRPr="00E16374" w:rsidRDefault="00006F33" w:rsidP="009A1B75">
            <w:pPr>
              <w:rPr>
                <w:rFonts w:ascii="Calibri" w:hAnsi="Calibri" w:cs="Calibri"/>
                <w:sz w:val="22"/>
                <w:szCs w:val="22"/>
              </w:rPr>
            </w:pPr>
          </w:p>
        </w:tc>
      </w:tr>
      <w:tr w:rsidR="00006F33" w:rsidRPr="00E16374" w14:paraId="741EEF65" w14:textId="77777777" w:rsidTr="00006F33">
        <w:tc>
          <w:tcPr>
            <w:tcW w:w="645" w:type="dxa"/>
            <w:tcBorders>
              <w:top w:val="single" w:sz="4" w:space="0" w:color="auto"/>
              <w:left w:val="single" w:sz="4" w:space="0" w:color="auto"/>
              <w:bottom w:val="single" w:sz="4" w:space="0" w:color="auto"/>
              <w:right w:val="single" w:sz="4" w:space="0" w:color="auto"/>
            </w:tcBorders>
          </w:tcPr>
          <w:p w14:paraId="68981AB5" w14:textId="77777777" w:rsidR="00006F33" w:rsidRPr="00E16374" w:rsidRDefault="00006F33" w:rsidP="009A1B75">
            <w:pPr>
              <w:rPr>
                <w:rFonts w:ascii="Calibri" w:hAnsi="Calibri" w:cs="Calibri"/>
                <w:sz w:val="22"/>
                <w:szCs w:val="22"/>
              </w:rPr>
            </w:pPr>
            <w:r>
              <w:rPr>
                <w:rFonts w:ascii="Calibri" w:hAnsi="Calibri" w:cs="Calibri"/>
                <w:sz w:val="22"/>
                <w:szCs w:val="22"/>
              </w:rPr>
              <w:t>9</w:t>
            </w:r>
          </w:p>
        </w:tc>
        <w:tc>
          <w:tcPr>
            <w:tcW w:w="3406" w:type="dxa"/>
            <w:tcBorders>
              <w:top w:val="single" w:sz="4" w:space="0" w:color="auto"/>
              <w:left w:val="single" w:sz="4" w:space="0" w:color="auto"/>
              <w:bottom w:val="single" w:sz="4" w:space="0" w:color="auto"/>
              <w:right w:val="single" w:sz="4" w:space="0" w:color="auto"/>
            </w:tcBorders>
          </w:tcPr>
          <w:p w14:paraId="2E458D63"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It is recommended that consultation be undertaken with relevant admin staff before decisions and business processes are changed at departmental level.</w:t>
            </w:r>
          </w:p>
          <w:p w14:paraId="3D4DDD91" w14:textId="77777777" w:rsidR="00006F33" w:rsidRPr="00E16374" w:rsidRDefault="00006F33" w:rsidP="009A1B75">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6F39CBE7" w14:textId="3C4E41EF" w:rsidR="00006F33" w:rsidRPr="00E16374" w:rsidRDefault="009A1B75" w:rsidP="009A1B75">
            <w:pPr>
              <w:rPr>
                <w:rFonts w:ascii="Calibri" w:hAnsi="Calibri" w:cs="Calibri"/>
                <w:sz w:val="22"/>
                <w:szCs w:val="22"/>
              </w:rPr>
            </w:pPr>
            <w:r>
              <w:rPr>
                <w:rFonts w:ascii="Calibri" w:hAnsi="Calibri" w:cs="Calibri"/>
                <w:sz w:val="22"/>
                <w:szCs w:val="22"/>
              </w:rPr>
              <w:t xml:space="preserve">Not agreed. It was felt that decisions made by HOD and Dept Exec should be operationalized by </w:t>
            </w:r>
            <w:r w:rsidR="004A5189">
              <w:rPr>
                <w:rFonts w:ascii="Calibri" w:hAnsi="Calibri" w:cs="Calibri"/>
                <w:sz w:val="22"/>
                <w:szCs w:val="22"/>
              </w:rPr>
              <w:t xml:space="preserve">admin staff within the department. </w:t>
            </w:r>
          </w:p>
        </w:tc>
        <w:tc>
          <w:tcPr>
            <w:tcW w:w="1843" w:type="dxa"/>
            <w:tcBorders>
              <w:top w:val="single" w:sz="4" w:space="0" w:color="auto"/>
              <w:left w:val="single" w:sz="4" w:space="0" w:color="auto"/>
              <w:bottom w:val="single" w:sz="4" w:space="0" w:color="auto"/>
              <w:right w:val="single" w:sz="4" w:space="0" w:color="auto"/>
            </w:tcBorders>
          </w:tcPr>
          <w:p w14:paraId="17506105" w14:textId="77777777" w:rsidR="00006F33" w:rsidRPr="00E16374" w:rsidRDefault="00006F33" w:rsidP="009A1B75">
            <w:pPr>
              <w:rPr>
                <w:rFonts w:ascii="Calibri" w:hAnsi="Calibri" w:cs="Calibri"/>
                <w:sz w:val="22"/>
                <w:szCs w:val="22"/>
              </w:rPr>
            </w:pPr>
          </w:p>
        </w:tc>
        <w:tc>
          <w:tcPr>
            <w:tcW w:w="1450" w:type="dxa"/>
            <w:tcBorders>
              <w:top w:val="single" w:sz="4" w:space="0" w:color="auto"/>
              <w:left w:val="single" w:sz="4" w:space="0" w:color="auto"/>
              <w:bottom w:val="single" w:sz="4" w:space="0" w:color="auto"/>
              <w:right w:val="single" w:sz="4" w:space="0" w:color="auto"/>
            </w:tcBorders>
          </w:tcPr>
          <w:p w14:paraId="01A6B94A" w14:textId="77777777" w:rsidR="00006F33" w:rsidRPr="00E16374" w:rsidRDefault="00006F33" w:rsidP="009A1B75">
            <w:pPr>
              <w:rPr>
                <w:rFonts w:ascii="Calibri" w:hAnsi="Calibri" w:cs="Calibri"/>
                <w:sz w:val="22"/>
                <w:szCs w:val="22"/>
              </w:rPr>
            </w:pPr>
          </w:p>
        </w:tc>
      </w:tr>
      <w:tr w:rsidR="00006F33" w:rsidRPr="00E16374" w14:paraId="5581D106" w14:textId="77777777" w:rsidTr="00006F33">
        <w:tc>
          <w:tcPr>
            <w:tcW w:w="645" w:type="dxa"/>
            <w:tcBorders>
              <w:top w:val="single" w:sz="4" w:space="0" w:color="auto"/>
              <w:left w:val="single" w:sz="4" w:space="0" w:color="auto"/>
              <w:bottom w:val="single" w:sz="4" w:space="0" w:color="auto"/>
              <w:right w:val="single" w:sz="4" w:space="0" w:color="auto"/>
            </w:tcBorders>
          </w:tcPr>
          <w:p w14:paraId="61D2F9A4" w14:textId="77777777" w:rsidR="00006F33" w:rsidRPr="00E16374" w:rsidRDefault="00006F33" w:rsidP="009A1B75">
            <w:pPr>
              <w:rPr>
                <w:rFonts w:ascii="Calibri" w:hAnsi="Calibri" w:cs="Calibri"/>
                <w:sz w:val="22"/>
                <w:szCs w:val="22"/>
              </w:rPr>
            </w:pPr>
            <w:r>
              <w:rPr>
                <w:rFonts w:ascii="Calibri" w:hAnsi="Calibri" w:cs="Calibri"/>
                <w:sz w:val="22"/>
                <w:szCs w:val="22"/>
              </w:rPr>
              <w:t>10</w:t>
            </w:r>
          </w:p>
        </w:tc>
        <w:tc>
          <w:tcPr>
            <w:tcW w:w="3406" w:type="dxa"/>
            <w:tcBorders>
              <w:top w:val="single" w:sz="4" w:space="0" w:color="auto"/>
              <w:left w:val="single" w:sz="4" w:space="0" w:color="auto"/>
              <w:bottom w:val="single" w:sz="4" w:space="0" w:color="auto"/>
              <w:right w:val="single" w:sz="4" w:space="0" w:color="auto"/>
            </w:tcBorders>
          </w:tcPr>
          <w:p w14:paraId="75BFE902" w14:textId="53A374BF" w:rsidR="00006F33" w:rsidRPr="00801950" w:rsidRDefault="00006F33" w:rsidP="00801950">
            <w:pPr>
              <w:rPr>
                <w:rFonts w:ascii="Calibri" w:hAnsi="Calibri" w:cs="Calibri"/>
                <w:sz w:val="22"/>
                <w:szCs w:val="22"/>
              </w:rPr>
            </w:pPr>
            <w:r w:rsidRPr="00801950">
              <w:rPr>
                <w:rFonts w:ascii="Calibri" w:hAnsi="Calibri" w:cs="Calibri"/>
                <w:sz w:val="22"/>
                <w:szCs w:val="22"/>
              </w:rPr>
              <w:t>The panel notes that the admin structures are currently under review at Faculty leve</w:t>
            </w:r>
            <w:r w:rsidR="004A5189">
              <w:rPr>
                <w:rFonts w:ascii="Calibri" w:hAnsi="Calibri" w:cs="Calibri"/>
                <w:sz w:val="22"/>
                <w:szCs w:val="22"/>
              </w:rPr>
              <w:t>l but recommends to this review</w:t>
            </w:r>
            <w:r w:rsidRPr="00801950">
              <w:rPr>
                <w:rFonts w:ascii="Calibri" w:hAnsi="Calibri" w:cs="Calibri"/>
                <w:sz w:val="22"/>
                <w:szCs w:val="22"/>
              </w:rPr>
              <w:t xml:space="preserve"> that consideration be given to the following proposal : that management of admin workload issues in the Department arising from peak periods and leaves be handled through a DA float at faculty level consisting of a relief </w:t>
            </w:r>
            <w:r w:rsidRPr="00801950">
              <w:rPr>
                <w:rFonts w:ascii="Calibri" w:hAnsi="Calibri" w:cs="Calibri"/>
                <w:sz w:val="22"/>
                <w:szCs w:val="22"/>
              </w:rPr>
              <w:lastRenderedPageBreak/>
              <w:t>admin staff member to provide cover DA leave/absences across the Faculty.</w:t>
            </w:r>
          </w:p>
          <w:p w14:paraId="5E5AE929" w14:textId="77777777" w:rsidR="00006F33" w:rsidRPr="00E16374" w:rsidRDefault="00006F33" w:rsidP="009A1B75">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60AFB869" w14:textId="77777777" w:rsidR="00006F33" w:rsidRPr="00E16374" w:rsidRDefault="003B158F" w:rsidP="009A1B75">
            <w:pPr>
              <w:rPr>
                <w:rFonts w:ascii="Calibri" w:hAnsi="Calibri" w:cs="Calibri"/>
                <w:sz w:val="22"/>
                <w:szCs w:val="22"/>
              </w:rPr>
            </w:pPr>
            <w:r>
              <w:rPr>
                <w:rFonts w:ascii="Calibri" w:hAnsi="Calibri" w:cs="Calibri"/>
                <w:sz w:val="22"/>
                <w:szCs w:val="22"/>
              </w:rPr>
              <w:lastRenderedPageBreak/>
              <w:t>Agreed</w:t>
            </w:r>
          </w:p>
        </w:tc>
        <w:tc>
          <w:tcPr>
            <w:tcW w:w="1843" w:type="dxa"/>
            <w:tcBorders>
              <w:top w:val="single" w:sz="4" w:space="0" w:color="auto"/>
              <w:left w:val="single" w:sz="4" w:space="0" w:color="auto"/>
              <w:bottom w:val="single" w:sz="4" w:space="0" w:color="auto"/>
              <w:right w:val="single" w:sz="4" w:space="0" w:color="auto"/>
            </w:tcBorders>
          </w:tcPr>
          <w:p w14:paraId="50429146" w14:textId="77777777" w:rsidR="00006F33" w:rsidRDefault="003B158F" w:rsidP="009A1B75">
            <w:pPr>
              <w:rPr>
                <w:rFonts w:ascii="Calibri" w:hAnsi="Calibri" w:cs="Calibri"/>
                <w:sz w:val="22"/>
                <w:szCs w:val="22"/>
              </w:rPr>
            </w:pPr>
            <w:r>
              <w:rPr>
                <w:rFonts w:ascii="Calibri" w:hAnsi="Calibri" w:cs="Calibri"/>
                <w:sz w:val="22"/>
                <w:szCs w:val="22"/>
              </w:rPr>
              <w:t>Executive Dean</w:t>
            </w:r>
          </w:p>
          <w:p w14:paraId="24CC114F" w14:textId="77777777" w:rsidR="003B158F" w:rsidRPr="00E16374" w:rsidRDefault="003B158F" w:rsidP="009A1B75">
            <w:pPr>
              <w:rPr>
                <w:rFonts w:ascii="Calibri" w:hAnsi="Calibri" w:cs="Calibri"/>
                <w:sz w:val="22"/>
                <w:szCs w:val="22"/>
              </w:rPr>
            </w:pPr>
            <w:r>
              <w:rPr>
                <w:rFonts w:ascii="Calibri" w:hAnsi="Calibri" w:cs="Calibri"/>
                <w:sz w:val="22"/>
                <w:szCs w:val="22"/>
              </w:rPr>
              <w:t>Faculty GM</w:t>
            </w:r>
          </w:p>
        </w:tc>
        <w:tc>
          <w:tcPr>
            <w:tcW w:w="1450" w:type="dxa"/>
            <w:tcBorders>
              <w:top w:val="single" w:sz="4" w:space="0" w:color="auto"/>
              <w:left w:val="single" w:sz="4" w:space="0" w:color="auto"/>
              <w:bottom w:val="single" w:sz="4" w:space="0" w:color="auto"/>
              <w:right w:val="single" w:sz="4" w:space="0" w:color="auto"/>
            </w:tcBorders>
          </w:tcPr>
          <w:p w14:paraId="43C0C63C" w14:textId="77777777" w:rsidR="00006F33" w:rsidRPr="00E16374" w:rsidRDefault="00006F33" w:rsidP="009A1B75">
            <w:pPr>
              <w:rPr>
                <w:rFonts w:ascii="Calibri" w:hAnsi="Calibri" w:cs="Calibri"/>
                <w:sz w:val="22"/>
                <w:szCs w:val="22"/>
              </w:rPr>
            </w:pPr>
          </w:p>
        </w:tc>
      </w:tr>
      <w:tr w:rsidR="00006F33" w:rsidRPr="00E16374" w14:paraId="6E02349B" w14:textId="77777777" w:rsidTr="00006F33">
        <w:tc>
          <w:tcPr>
            <w:tcW w:w="645" w:type="dxa"/>
            <w:tcBorders>
              <w:top w:val="single" w:sz="4" w:space="0" w:color="auto"/>
              <w:left w:val="single" w:sz="4" w:space="0" w:color="auto"/>
              <w:bottom w:val="single" w:sz="4" w:space="0" w:color="auto"/>
              <w:right w:val="single" w:sz="4" w:space="0" w:color="auto"/>
            </w:tcBorders>
          </w:tcPr>
          <w:p w14:paraId="703CBC3A" w14:textId="77777777" w:rsidR="00006F33" w:rsidRPr="00E16374" w:rsidRDefault="00006F33" w:rsidP="009A1B75">
            <w:pPr>
              <w:rPr>
                <w:rFonts w:ascii="Calibri" w:hAnsi="Calibri" w:cs="Calibri"/>
                <w:sz w:val="22"/>
                <w:szCs w:val="22"/>
              </w:rPr>
            </w:pPr>
            <w:r>
              <w:rPr>
                <w:rFonts w:ascii="Calibri" w:hAnsi="Calibri" w:cs="Calibri"/>
                <w:sz w:val="22"/>
                <w:szCs w:val="22"/>
              </w:rPr>
              <w:lastRenderedPageBreak/>
              <w:t>11</w:t>
            </w:r>
          </w:p>
        </w:tc>
        <w:tc>
          <w:tcPr>
            <w:tcW w:w="3406" w:type="dxa"/>
            <w:tcBorders>
              <w:top w:val="single" w:sz="4" w:space="0" w:color="auto"/>
              <w:left w:val="single" w:sz="4" w:space="0" w:color="auto"/>
              <w:bottom w:val="single" w:sz="4" w:space="0" w:color="auto"/>
              <w:right w:val="single" w:sz="4" w:space="0" w:color="auto"/>
            </w:tcBorders>
          </w:tcPr>
          <w:p w14:paraId="650DF03C" w14:textId="77777777" w:rsidR="00006F33" w:rsidRPr="00801950" w:rsidRDefault="00006F33" w:rsidP="00801950">
            <w:pPr>
              <w:rPr>
                <w:rFonts w:ascii="Calibri" w:hAnsi="Calibri" w:cs="Calibri"/>
                <w:sz w:val="22"/>
                <w:szCs w:val="22"/>
              </w:rPr>
            </w:pPr>
            <w:r w:rsidRPr="00801950">
              <w:rPr>
                <w:rFonts w:ascii="Calibri" w:hAnsi="Calibri" w:cs="Calibri"/>
                <w:sz w:val="22"/>
                <w:szCs w:val="22"/>
              </w:rPr>
              <w:t>The panel notes that University marketing efforts may be missing the mark and not capturing the Department’s potential. Given the new staff profile in the Department, the revised course structures and the world class facilities the panel strongly recommends that marketing for the Department be undertaken in a targeted manner at Department level with strong input from staff in relevant area.</w:t>
            </w:r>
          </w:p>
          <w:p w14:paraId="62C60EAD" w14:textId="77777777" w:rsidR="00006F33" w:rsidRPr="00E16374" w:rsidRDefault="00006F33" w:rsidP="00801950">
            <w:pPr>
              <w:rPr>
                <w:rFonts w:ascii="Calibri" w:hAnsi="Calibri" w:cs="Calibri"/>
                <w:sz w:val="22"/>
                <w:szCs w:val="22"/>
              </w:rPr>
            </w:pPr>
          </w:p>
        </w:tc>
        <w:tc>
          <w:tcPr>
            <w:tcW w:w="6830" w:type="dxa"/>
            <w:tcBorders>
              <w:top w:val="single" w:sz="4" w:space="0" w:color="auto"/>
              <w:left w:val="single" w:sz="4" w:space="0" w:color="auto"/>
              <w:bottom w:val="single" w:sz="4" w:space="0" w:color="auto"/>
              <w:right w:val="single" w:sz="4" w:space="0" w:color="auto"/>
            </w:tcBorders>
          </w:tcPr>
          <w:p w14:paraId="632DFDBA" w14:textId="5AF08B2B" w:rsidR="00006F33" w:rsidRPr="00E16374" w:rsidRDefault="003B158F" w:rsidP="009A1B75">
            <w:pPr>
              <w:rPr>
                <w:rFonts w:ascii="Calibri" w:hAnsi="Calibri" w:cs="Calibri"/>
                <w:sz w:val="22"/>
                <w:szCs w:val="22"/>
              </w:rPr>
            </w:pPr>
            <w:r>
              <w:rPr>
                <w:rFonts w:ascii="Calibri" w:hAnsi="Calibri" w:cs="Calibri"/>
                <w:sz w:val="22"/>
                <w:szCs w:val="22"/>
              </w:rPr>
              <w:t>Agreed</w:t>
            </w:r>
            <w:r w:rsidR="004A5189">
              <w:rPr>
                <w:rFonts w:ascii="Calibri" w:hAnsi="Calibri" w:cs="Calibri"/>
                <w:sz w:val="22"/>
                <w:szCs w:val="22"/>
              </w:rPr>
              <w:t>, though will require approval from central Marketing as well as Faculty to proceed thus.</w:t>
            </w:r>
          </w:p>
        </w:tc>
        <w:tc>
          <w:tcPr>
            <w:tcW w:w="1843" w:type="dxa"/>
            <w:tcBorders>
              <w:top w:val="single" w:sz="4" w:space="0" w:color="auto"/>
              <w:left w:val="single" w:sz="4" w:space="0" w:color="auto"/>
              <w:bottom w:val="single" w:sz="4" w:space="0" w:color="auto"/>
              <w:right w:val="single" w:sz="4" w:space="0" w:color="auto"/>
            </w:tcBorders>
          </w:tcPr>
          <w:p w14:paraId="40C2B3EE" w14:textId="77777777" w:rsidR="004A5189" w:rsidRDefault="003B158F" w:rsidP="009A1B75">
            <w:pPr>
              <w:rPr>
                <w:rFonts w:ascii="Calibri" w:hAnsi="Calibri" w:cs="Calibri"/>
                <w:sz w:val="22"/>
                <w:szCs w:val="22"/>
              </w:rPr>
            </w:pPr>
            <w:r>
              <w:rPr>
                <w:rFonts w:ascii="Calibri" w:hAnsi="Calibri" w:cs="Calibri"/>
                <w:sz w:val="22"/>
                <w:szCs w:val="22"/>
              </w:rPr>
              <w:t>HOD</w:t>
            </w:r>
          </w:p>
          <w:p w14:paraId="766BC493" w14:textId="52532648" w:rsidR="00006F33" w:rsidRPr="00E16374" w:rsidRDefault="004A5189" w:rsidP="009A1B75">
            <w:pPr>
              <w:rPr>
                <w:rFonts w:ascii="Calibri" w:hAnsi="Calibri" w:cs="Calibri"/>
                <w:sz w:val="22"/>
                <w:szCs w:val="22"/>
              </w:rPr>
            </w:pPr>
            <w:r>
              <w:rPr>
                <w:rFonts w:ascii="Calibri" w:hAnsi="Calibri" w:cs="Calibri"/>
                <w:sz w:val="22"/>
                <w:szCs w:val="22"/>
              </w:rPr>
              <w:t>FGM</w:t>
            </w:r>
            <w:r w:rsidR="003B158F">
              <w:rPr>
                <w:rFonts w:ascii="Calibri" w:hAnsi="Calibri" w:cs="Calibri"/>
                <w:sz w:val="22"/>
                <w:szCs w:val="22"/>
              </w:rPr>
              <w:br/>
              <w:t>Dept. Marketing Committee</w:t>
            </w:r>
          </w:p>
        </w:tc>
        <w:tc>
          <w:tcPr>
            <w:tcW w:w="1450" w:type="dxa"/>
            <w:tcBorders>
              <w:top w:val="single" w:sz="4" w:space="0" w:color="auto"/>
              <w:left w:val="single" w:sz="4" w:space="0" w:color="auto"/>
              <w:bottom w:val="single" w:sz="4" w:space="0" w:color="auto"/>
              <w:right w:val="single" w:sz="4" w:space="0" w:color="auto"/>
            </w:tcBorders>
          </w:tcPr>
          <w:p w14:paraId="1F612CD9" w14:textId="76F9A4DC" w:rsidR="00006F33" w:rsidRPr="00E16374" w:rsidRDefault="004A5189" w:rsidP="009A1B75">
            <w:pPr>
              <w:rPr>
                <w:rFonts w:ascii="Calibri" w:hAnsi="Calibri" w:cs="Calibri"/>
                <w:sz w:val="22"/>
                <w:szCs w:val="22"/>
              </w:rPr>
            </w:pPr>
            <w:r>
              <w:rPr>
                <w:rFonts w:ascii="Calibri" w:hAnsi="Calibri" w:cs="Calibri"/>
                <w:sz w:val="22"/>
                <w:szCs w:val="22"/>
              </w:rPr>
              <w:t>Oct – Dec 2013</w:t>
            </w:r>
          </w:p>
        </w:tc>
      </w:tr>
    </w:tbl>
    <w:p w14:paraId="65A90BDA" w14:textId="77777777" w:rsidR="00801950" w:rsidRDefault="00801950" w:rsidP="00CA4D71">
      <w:pPr>
        <w:pStyle w:val="Heading3"/>
      </w:pPr>
    </w:p>
    <w:p w14:paraId="2138999E" w14:textId="77777777" w:rsidR="0063693E" w:rsidRDefault="0063693E" w:rsidP="0063693E">
      <w:pPr>
        <w:pStyle w:val="Heading3"/>
        <w:numPr>
          <w:ilvl w:val="0"/>
          <w:numId w:val="1"/>
        </w:numPr>
      </w:pPr>
      <w:r>
        <w:t>Academic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06"/>
        <w:gridCol w:w="6830"/>
        <w:gridCol w:w="1843"/>
        <w:gridCol w:w="1450"/>
      </w:tblGrid>
      <w:tr w:rsidR="003B158F" w14:paraId="11A4699C" w14:textId="77777777" w:rsidTr="003B158F">
        <w:tc>
          <w:tcPr>
            <w:tcW w:w="645" w:type="dxa"/>
          </w:tcPr>
          <w:p w14:paraId="1369F9B3" w14:textId="77777777" w:rsidR="003B158F" w:rsidRPr="00654044" w:rsidRDefault="003B158F" w:rsidP="00654044">
            <w:pPr>
              <w:jc w:val="center"/>
              <w:rPr>
                <w:rFonts w:ascii="Verdana" w:hAnsi="Verdana"/>
                <w:b/>
                <w:sz w:val="20"/>
                <w:szCs w:val="20"/>
              </w:rPr>
            </w:pPr>
            <w:r w:rsidRPr="00654044">
              <w:rPr>
                <w:rFonts w:ascii="Verdana" w:hAnsi="Verdana"/>
                <w:b/>
                <w:sz w:val="20"/>
                <w:szCs w:val="20"/>
              </w:rPr>
              <w:t>Rec No.</w:t>
            </w:r>
          </w:p>
        </w:tc>
        <w:tc>
          <w:tcPr>
            <w:tcW w:w="3406" w:type="dxa"/>
          </w:tcPr>
          <w:p w14:paraId="639CFD73" w14:textId="77777777" w:rsidR="003B158F" w:rsidRPr="00654044" w:rsidRDefault="003B158F" w:rsidP="00654044">
            <w:pPr>
              <w:jc w:val="center"/>
              <w:rPr>
                <w:rFonts w:ascii="Verdana" w:hAnsi="Verdana"/>
                <w:b/>
                <w:sz w:val="20"/>
                <w:szCs w:val="20"/>
              </w:rPr>
            </w:pPr>
            <w:r w:rsidRPr="00654044">
              <w:rPr>
                <w:rFonts w:ascii="Verdana" w:hAnsi="Verdana"/>
                <w:b/>
                <w:sz w:val="20"/>
                <w:szCs w:val="20"/>
              </w:rPr>
              <w:t>Recommendation</w:t>
            </w:r>
          </w:p>
        </w:tc>
        <w:tc>
          <w:tcPr>
            <w:tcW w:w="6830" w:type="dxa"/>
          </w:tcPr>
          <w:p w14:paraId="18B4122D" w14:textId="77777777" w:rsidR="003B158F" w:rsidRPr="00654044" w:rsidRDefault="003B158F" w:rsidP="00654044">
            <w:pPr>
              <w:jc w:val="center"/>
              <w:rPr>
                <w:rFonts w:ascii="Verdana" w:hAnsi="Verdana"/>
                <w:b/>
                <w:sz w:val="20"/>
                <w:szCs w:val="20"/>
              </w:rPr>
            </w:pPr>
            <w:r>
              <w:rPr>
                <w:rFonts w:ascii="Verdana" w:hAnsi="Verdana"/>
                <w:b/>
                <w:sz w:val="20"/>
                <w:szCs w:val="20"/>
              </w:rPr>
              <w:t>Response and Status</w:t>
            </w:r>
          </w:p>
        </w:tc>
        <w:tc>
          <w:tcPr>
            <w:tcW w:w="1843" w:type="dxa"/>
          </w:tcPr>
          <w:p w14:paraId="4F2A0351" w14:textId="77777777" w:rsidR="003B158F" w:rsidRPr="00654044" w:rsidRDefault="003B158F" w:rsidP="00654044">
            <w:pPr>
              <w:jc w:val="center"/>
              <w:rPr>
                <w:rFonts w:ascii="Verdana" w:hAnsi="Verdana"/>
                <w:b/>
                <w:sz w:val="20"/>
                <w:szCs w:val="20"/>
              </w:rPr>
            </w:pPr>
            <w:r w:rsidRPr="00654044">
              <w:rPr>
                <w:rFonts w:ascii="Verdana" w:hAnsi="Verdana"/>
                <w:b/>
                <w:sz w:val="20"/>
                <w:szCs w:val="20"/>
              </w:rPr>
              <w:t>Responsibility</w:t>
            </w:r>
          </w:p>
        </w:tc>
        <w:tc>
          <w:tcPr>
            <w:tcW w:w="1450" w:type="dxa"/>
          </w:tcPr>
          <w:p w14:paraId="19CE1265" w14:textId="77777777" w:rsidR="003B158F" w:rsidRPr="00654044" w:rsidRDefault="003B158F" w:rsidP="00654044">
            <w:pPr>
              <w:jc w:val="center"/>
              <w:rPr>
                <w:rFonts w:ascii="Verdana" w:hAnsi="Verdana"/>
                <w:b/>
                <w:sz w:val="20"/>
                <w:szCs w:val="20"/>
              </w:rPr>
            </w:pPr>
            <w:r>
              <w:rPr>
                <w:rFonts w:ascii="Verdana" w:hAnsi="Verdana"/>
                <w:b/>
                <w:sz w:val="20"/>
                <w:szCs w:val="20"/>
              </w:rPr>
              <w:t>Timeline</w:t>
            </w:r>
          </w:p>
        </w:tc>
      </w:tr>
      <w:tr w:rsidR="003B158F" w14:paraId="78AA85B9" w14:textId="77777777" w:rsidTr="003B158F">
        <w:tc>
          <w:tcPr>
            <w:tcW w:w="645" w:type="dxa"/>
          </w:tcPr>
          <w:p w14:paraId="6B7452FF" w14:textId="77777777" w:rsidR="003B158F" w:rsidRPr="00E16374" w:rsidRDefault="003B158F" w:rsidP="00852EDB">
            <w:pPr>
              <w:rPr>
                <w:rFonts w:ascii="Calibri" w:hAnsi="Calibri" w:cs="Calibri"/>
                <w:sz w:val="22"/>
                <w:szCs w:val="22"/>
              </w:rPr>
            </w:pPr>
            <w:r>
              <w:rPr>
                <w:rFonts w:ascii="Calibri" w:hAnsi="Calibri" w:cs="Calibri"/>
                <w:sz w:val="22"/>
                <w:szCs w:val="22"/>
              </w:rPr>
              <w:t>12</w:t>
            </w:r>
          </w:p>
        </w:tc>
        <w:tc>
          <w:tcPr>
            <w:tcW w:w="3406" w:type="dxa"/>
          </w:tcPr>
          <w:p w14:paraId="68A0EBDB" w14:textId="5E859A3A" w:rsidR="003B158F" w:rsidRPr="00801950" w:rsidRDefault="003B158F" w:rsidP="00801950">
            <w:pPr>
              <w:rPr>
                <w:rFonts w:ascii="Calibri" w:hAnsi="Calibri" w:cs="Calibri"/>
                <w:sz w:val="22"/>
                <w:szCs w:val="22"/>
              </w:rPr>
            </w:pPr>
            <w:r w:rsidRPr="00801950">
              <w:rPr>
                <w:rFonts w:ascii="Calibri" w:hAnsi="Calibri" w:cs="Calibri"/>
                <w:sz w:val="22"/>
                <w:szCs w:val="22"/>
              </w:rPr>
              <w:t>The panel recommends that the current annual review might be replaced by the L&amp;T committee strategic planning pr</w:t>
            </w:r>
            <w:r w:rsidR="00EF5892">
              <w:rPr>
                <w:rFonts w:ascii="Calibri" w:hAnsi="Calibri" w:cs="Calibri"/>
                <w:sz w:val="22"/>
                <w:szCs w:val="22"/>
              </w:rPr>
              <w:t>ocess across all the programs (</w:t>
            </w:r>
            <w:r w:rsidRPr="00801950">
              <w:rPr>
                <w:rFonts w:ascii="Calibri" w:hAnsi="Calibri" w:cs="Calibri"/>
                <w:sz w:val="22"/>
                <w:szCs w:val="22"/>
              </w:rPr>
              <w:t>see part One above).</w:t>
            </w:r>
          </w:p>
          <w:p w14:paraId="00852E11" w14:textId="77777777" w:rsidR="003B158F" w:rsidRPr="00E16374" w:rsidRDefault="003B158F" w:rsidP="00852EDB">
            <w:pPr>
              <w:rPr>
                <w:rFonts w:ascii="Calibri" w:hAnsi="Calibri" w:cs="Calibri"/>
                <w:sz w:val="22"/>
                <w:szCs w:val="22"/>
              </w:rPr>
            </w:pPr>
          </w:p>
        </w:tc>
        <w:tc>
          <w:tcPr>
            <w:tcW w:w="6830" w:type="dxa"/>
          </w:tcPr>
          <w:p w14:paraId="1044FF2C" w14:textId="467A8A9F" w:rsidR="003B158F" w:rsidRPr="00E16374" w:rsidRDefault="003B158F" w:rsidP="00852EDB">
            <w:pPr>
              <w:rPr>
                <w:rFonts w:ascii="Calibri" w:hAnsi="Calibri" w:cs="Calibri"/>
                <w:sz w:val="22"/>
                <w:szCs w:val="22"/>
              </w:rPr>
            </w:pPr>
            <w:r>
              <w:rPr>
                <w:rFonts w:ascii="Calibri" w:hAnsi="Calibri" w:cs="Calibri"/>
                <w:sz w:val="22"/>
                <w:szCs w:val="22"/>
              </w:rPr>
              <w:lastRenderedPageBreak/>
              <w:t>Agreed and underway</w:t>
            </w:r>
            <w:r w:rsidR="00EF5892">
              <w:rPr>
                <w:rFonts w:ascii="Calibri" w:hAnsi="Calibri" w:cs="Calibri"/>
                <w:sz w:val="22"/>
                <w:szCs w:val="22"/>
              </w:rPr>
              <w:t>.</w:t>
            </w:r>
          </w:p>
        </w:tc>
        <w:tc>
          <w:tcPr>
            <w:tcW w:w="1843" w:type="dxa"/>
          </w:tcPr>
          <w:p w14:paraId="41FDE8EB" w14:textId="77777777" w:rsidR="003B158F" w:rsidRPr="00E16374" w:rsidRDefault="003B158F" w:rsidP="00852EDB">
            <w:pPr>
              <w:rPr>
                <w:rFonts w:ascii="Calibri" w:hAnsi="Calibri" w:cs="Calibri"/>
                <w:sz w:val="22"/>
                <w:szCs w:val="22"/>
              </w:rPr>
            </w:pPr>
            <w:r>
              <w:rPr>
                <w:rFonts w:ascii="Calibri" w:hAnsi="Calibri" w:cs="Calibri"/>
                <w:sz w:val="22"/>
                <w:szCs w:val="22"/>
              </w:rPr>
              <w:t>L&amp;T Director</w:t>
            </w:r>
          </w:p>
        </w:tc>
        <w:tc>
          <w:tcPr>
            <w:tcW w:w="1450" w:type="dxa"/>
          </w:tcPr>
          <w:p w14:paraId="44DD4B9C" w14:textId="77777777" w:rsidR="003B158F" w:rsidRPr="00E16374" w:rsidRDefault="003B158F" w:rsidP="00FB3CFC">
            <w:pPr>
              <w:rPr>
                <w:rFonts w:ascii="Calibri" w:hAnsi="Calibri" w:cs="Calibri"/>
                <w:sz w:val="22"/>
                <w:szCs w:val="22"/>
              </w:rPr>
            </w:pPr>
            <w:r>
              <w:rPr>
                <w:rFonts w:ascii="Calibri" w:hAnsi="Calibri" w:cs="Calibri"/>
                <w:sz w:val="22"/>
                <w:szCs w:val="22"/>
              </w:rPr>
              <w:t>Ongoing</w:t>
            </w:r>
          </w:p>
        </w:tc>
      </w:tr>
      <w:tr w:rsidR="003B158F" w14:paraId="2B4CEF87" w14:textId="77777777" w:rsidTr="003B158F">
        <w:tc>
          <w:tcPr>
            <w:tcW w:w="645" w:type="dxa"/>
          </w:tcPr>
          <w:p w14:paraId="40D8F32F" w14:textId="77777777" w:rsidR="003B158F" w:rsidRPr="00E16374" w:rsidRDefault="003B158F" w:rsidP="00852EDB">
            <w:pPr>
              <w:rPr>
                <w:rFonts w:ascii="Calibri" w:hAnsi="Calibri" w:cs="Calibri"/>
                <w:sz w:val="22"/>
                <w:szCs w:val="22"/>
              </w:rPr>
            </w:pPr>
            <w:r>
              <w:rPr>
                <w:rFonts w:ascii="Calibri" w:hAnsi="Calibri" w:cs="Calibri"/>
                <w:sz w:val="22"/>
                <w:szCs w:val="22"/>
              </w:rPr>
              <w:lastRenderedPageBreak/>
              <w:t>13</w:t>
            </w:r>
          </w:p>
        </w:tc>
        <w:tc>
          <w:tcPr>
            <w:tcW w:w="3406" w:type="dxa"/>
          </w:tcPr>
          <w:p w14:paraId="5DF617FB" w14:textId="192FFC73" w:rsidR="003B158F" w:rsidRPr="00801950" w:rsidRDefault="003B158F" w:rsidP="00801950">
            <w:pPr>
              <w:rPr>
                <w:rFonts w:ascii="Calibri" w:hAnsi="Calibri" w:cs="Calibri"/>
                <w:sz w:val="22"/>
                <w:szCs w:val="22"/>
              </w:rPr>
            </w:pPr>
            <w:r w:rsidRPr="00801950">
              <w:rPr>
                <w:rFonts w:ascii="Calibri" w:hAnsi="Calibri" w:cs="Calibri"/>
                <w:sz w:val="22"/>
                <w:szCs w:val="22"/>
              </w:rPr>
              <w:t>The panel notes that the proposed a</w:t>
            </w:r>
            <w:r w:rsidR="00EF5892">
              <w:rPr>
                <w:rFonts w:ascii="Calibri" w:hAnsi="Calibri" w:cs="Calibri"/>
                <w:sz w:val="22"/>
                <w:szCs w:val="22"/>
              </w:rPr>
              <w:t>rticulations with Sydney TAFE (</w:t>
            </w:r>
            <w:r w:rsidRPr="00801950">
              <w:rPr>
                <w:rFonts w:ascii="Calibri" w:hAnsi="Calibri" w:cs="Calibri"/>
                <w:sz w:val="22"/>
                <w:szCs w:val="22"/>
              </w:rPr>
              <w:t>Music progra</w:t>
            </w:r>
            <w:r w:rsidR="00EF5892">
              <w:rPr>
                <w:rFonts w:ascii="Calibri" w:hAnsi="Calibri" w:cs="Calibri"/>
                <w:sz w:val="22"/>
                <w:szCs w:val="22"/>
              </w:rPr>
              <w:t>m) and North Sydney Institute (</w:t>
            </w:r>
            <w:r w:rsidRPr="00801950">
              <w:rPr>
                <w:rFonts w:ascii="Calibri" w:hAnsi="Calibri" w:cs="Calibri"/>
                <w:sz w:val="22"/>
                <w:szCs w:val="22"/>
              </w:rPr>
              <w:t>Games programs) into the relevant Macquarie University degrees are currently before ASQC and Senate for approval and notes the SIBT arrangement as well. It is recommended that regular monitoring of these relationships be undertaken for quality assurance purposes and to ensure proper oversight of L&amp;T issues and results.</w:t>
            </w:r>
          </w:p>
          <w:p w14:paraId="4502E415" w14:textId="77777777" w:rsidR="003B158F" w:rsidRPr="00E16374" w:rsidRDefault="003B158F" w:rsidP="00852EDB">
            <w:pPr>
              <w:rPr>
                <w:rFonts w:ascii="Calibri" w:hAnsi="Calibri" w:cs="Calibri"/>
                <w:sz w:val="22"/>
                <w:szCs w:val="22"/>
              </w:rPr>
            </w:pPr>
          </w:p>
        </w:tc>
        <w:tc>
          <w:tcPr>
            <w:tcW w:w="6830" w:type="dxa"/>
          </w:tcPr>
          <w:p w14:paraId="1AF4C2B0" w14:textId="77777777" w:rsidR="003B158F" w:rsidRPr="00E16374" w:rsidRDefault="003B158F" w:rsidP="00852EDB">
            <w:pPr>
              <w:rPr>
                <w:rFonts w:ascii="Calibri" w:hAnsi="Calibri" w:cs="Calibri"/>
                <w:sz w:val="22"/>
                <w:szCs w:val="22"/>
              </w:rPr>
            </w:pPr>
            <w:r>
              <w:rPr>
                <w:rFonts w:ascii="Calibri" w:hAnsi="Calibri" w:cs="Calibri"/>
                <w:sz w:val="22"/>
                <w:szCs w:val="22"/>
              </w:rPr>
              <w:t>Agreed and underway</w:t>
            </w:r>
          </w:p>
        </w:tc>
        <w:tc>
          <w:tcPr>
            <w:tcW w:w="1843" w:type="dxa"/>
          </w:tcPr>
          <w:p w14:paraId="3ADD913C" w14:textId="77777777" w:rsidR="003B158F" w:rsidRPr="00E16374" w:rsidRDefault="003B158F" w:rsidP="00852EDB">
            <w:pPr>
              <w:rPr>
                <w:rFonts w:ascii="Calibri" w:hAnsi="Calibri" w:cs="Calibri"/>
                <w:sz w:val="22"/>
                <w:szCs w:val="22"/>
              </w:rPr>
            </w:pPr>
            <w:r>
              <w:rPr>
                <w:rFonts w:ascii="Calibri" w:hAnsi="Calibri" w:cs="Calibri"/>
                <w:sz w:val="22"/>
                <w:szCs w:val="22"/>
              </w:rPr>
              <w:t>HOD</w:t>
            </w:r>
            <w:r>
              <w:rPr>
                <w:rFonts w:ascii="Calibri" w:hAnsi="Calibri" w:cs="Calibri"/>
                <w:sz w:val="22"/>
                <w:szCs w:val="22"/>
              </w:rPr>
              <w:br/>
              <w:t>L&amp;T Director</w:t>
            </w:r>
          </w:p>
        </w:tc>
        <w:tc>
          <w:tcPr>
            <w:tcW w:w="1450" w:type="dxa"/>
          </w:tcPr>
          <w:p w14:paraId="61198695" w14:textId="77777777" w:rsidR="003B158F" w:rsidRPr="00E16374" w:rsidRDefault="003B158F" w:rsidP="00852EDB">
            <w:pPr>
              <w:rPr>
                <w:rFonts w:ascii="Calibri" w:hAnsi="Calibri" w:cs="Calibri"/>
                <w:sz w:val="22"/>
                <w:szCs w:val="22"/>
              </w:rPr>
            </w:pPr>
            <w:r>
              <w:rPr>
                <w:rFonts w:ascii="Calibri" w:hAnsi="Calibri" w:cs="Calibri"/>
                <w:sz w:val="22"/>
                <w:szCs w:val="22"/>
              </w:rPr>
              <w:t>Ongoing</w:t>
            </w:r>
          </w:p>
        </w:tc>
      </w:tr>
      <w:tr w:rsidR="003B158F" w14:paraId="2B5455AB" w14:textId="77777777" w:rsidTr="003B158F">
        <w:tc>
          <w:tcPr>
            <w:tcW w:w="645" w:type="dxa"/>
          </w:tcPr>
          <w:p w14:paraId="418DC903" w14:textId="77777777" w:rsidR="003B158F" w:rsidRPr="00E16374" w:rsidRDefault="003B158F" w:rsidP="00852EDB">
            <w:pPr>
              <w:rPr>
                <w:rFonts w:ascii="Calibri" w:hAnsi="Calibri" w:cs="Calibri"/>
                <w:sz w:val="22"/>
                <w:szCs w:val="22"/>
              </w:rPr>
            </w:pPr>
            <w:r>
              <w:rPr>
                <w:rFonts w:ascii="Calibri" w:hAnsi="Calibri" w:cs="Calibri"/>
                <w:sz w:val="22"/>
                <w:szCs w:val="22"/>
              </w:rPr>
              <w:t>14</w:t>
            </w:r>
          </w:p>
        </w:tc>
        <w:tc>
          <w:tcPr>
            <w:tcW w:w="3406" w:type="dxa"/>
          </w:tcPr>
          <w:p w14:paraId="7765500D" w14:textId="77777777" w:rsidR="003B158F" w:rsidRPr="00E16374" w:rsidRDefault="003B158F" w:rsidP="00801950">
            <w:pPr>
              <w:rPr>
                <w:rFonts w:ascii="Calibri" w:hAnsi="Calibri" w:cs="Calibri"/>
                <w:sz w:val="22"/>
                <w:szCs w:val="22"/>
              </w:rPr>
            </w:pPr>
            <w:r w:rsidRPr="00801950">
              <w:rPr>
                <w:rFonts w:ascii="Calibri" w:hAnsi="Calibri" w:cs="Calibri"/>
                <w:sz w:val="22"/>
                <w:szCs w:val="22"/>
              </w:rPr>
              <w:t xml:space="preserve">The panel also notes that the ‘compliance fatigue issue’ in this area and recommends the development of informal structures and conversations about actual classroom practice as well as the more formal committee processes. ( See above under </w:t>
            </w:r>
            <w:r>
              <w:rPr>
                <w:rFonts w:ascii="Calibri" w:hAnsi="Calibri" w:cs="Calibri"/>
                <w:sz w:val="22"/>
                <w:szCs w:val="22"/>
              </w:rPr>
              <w:t>part one role of L&amp;T committee)</w:t>
            </w:r>
            <w:r w:rsidRPr="00E16374">
              <w:rPr>
                <w:rFonts w:ascii="Calibri" w:hAnsi="Calibri" w:cs="Calibri"/>
                <w:sz w:val="22"/>
                <w:szCs w:val="22"/>
              </w:rPr>
              <w:t xml:space="preserve"> </w:t>
            </w:r>
          </w:p>
        </w:tc>
        <w:tc>
          <w:tcPr>
            <w:tcW w:w="6830" w:type="dxa"/>
          </w:tcPr>
          <w:p w14:paraId="04BD0C5F" w14:textId="77777777" w:rsidR="003B158F" w:rsidRPr="00E16374" w:rsidRDefault="003B158F" w:rsidP="00852EDB">
            <w:pPr>
              <w:rPr>
                <w:rFonts w:ascii="Calibri" w:hAnsi="Calibri" w:cs="Calibri"/>
                <w:sz w:val="22"/>
                <w:szCs w:val="22"/>
              </w:rPr>
            </w:pPr>
            <w:r>
              <w:rPr>
                <w:rFonts w:ascii="Calibri" w:hAnsi="Calibri" w:cs="Calibri"/>
                <w:sz w:val="22"/>
                <w:szCs w:val="22"/>
              </w:rPr>
              <w:t>Agreed and commenced</w:t>
            </w:r>
          </w:p>
        </w:tc>
        <w:tc>
          <w:tcPr>
            <w:tcW w:w="1843" w:type="dxa"/>
          </w:tcPr>
          <w:p w14:paraId="63903F8C" w14:textId="77777777" w:rsidR="003B158F" w:rsidRPr="00E16374" w:rsidRDefault="003B158F" w:rsidP="00852EDB">
            <w:pPr>
              <w:rPr>
                <w:rFonts w:ascii="Calibri" w:hAnsi="Calibri" w:cs="Calibri"/>
                <w:sz w:val="22"/>
                <w:szCs w:val="22"/>
              </w:rPr>
            </w:pPr>
            <w:r>
              <w:rPr>
                <w:rFonts w:ascii="Calibri" w:hAnsi="Calibri" w:cs="Calibri"/>
                <w:sz w:val="22"/>
                <w:szCs w:val="22"/>
              </w:rPr>
              <w:t>L&amp;T Director</w:t>
            </w:r>
          </w:p>
        </w:tc>
        <w:tc>
          <w:tcPr>
            <w:tcW w:w="1450" w:type="dxa"/>
          </w:tcPr>
          <w:p w14:paraId="2FE2D00D" w14:textId="77777777" w:rsidR="003B158F" w:rsidRPr="00E16374" w:rsidRDefault="00570BC2" w:rsidP="00EB04EB">
            <w:pPr>
              <w:rPr>
                <w:rFonts w:ascii="Calibri" w:hAnsi="Calibri" w:cs="Calibri"/>
                <w:sz w:val="22"/>
                <w:szCs w:val="22"/>
              </w:rPr>
            </w:pPr>
            <w:r>
              <w:rPr>
                <w:rFonts w:ascii="Calibri" w:hAnsi="Calibri" w:cs="Calibri"/>
                <w:sz w:val="22"/>
                <w:szCs w:val="22"/>
              </w:rPr>
              <w:t>Commenced</w:t>
            </w:r>
          </w:p>
        </w:tc>
      </w:tr>
    </w:tbl>
    <w:p w14:paraId="5D675DE1" w14:textId="77777777" w:rsidR="005533CF" w:rsidRDefault="005533CF" w:rsidP="005533CF">
      <w:pPr>
        <w:pStyle w:val="Heading3"/>
      </w:pPr>
    </w:p>
    <w:p w14:paraId="56C6DF91" w14:textId="77777777" w:rsidR="001209CB" w:rsidRDefault="001209CB" w:rsidP="001209CB"/>
    <w:p w14:paraId="267B8F0D" w14:textId="77777777" w:rsidR="001209CB" w:rsidRPr="001209CB" w:rsidRDefault="001209CB" w:rsidP="001209CB"/>
    <w:p w14:paraId="61897BFE" w14:textId="77777777" w:rsidR="0063693E" w:rsidRDefault="0063693E" w:rsidP="0063693E">
      <w:pPr>
        <w:pStyle w:val="Heading3"/>
        <w:numPr>
          <w:ilvl w:val="0"/>
          <w:numId w:val="1"/>
        </w:numPr>
      </w:pPr>
      <w:r>
        <w:lastRenderedPageBreak/>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06"/>
        <w:gridCol w:w="6830"/>
        <w:gridCol w:w="1843"/>
        <w:gridCol w:w="1450"/>
      </w:tblGrid>
      <w:tr w:rsidR="00570BC2" w14:paraId="3C2C35CA" w14:textId="77777777" w:rsidTr="00570BC2">
        <w:tc>
          <w:tcPr>
            <w:tcW w:w="645" w:type="dxa"/>
          </w:tcPr>
          <w:p w14:paraId="7266B7C1" w14:textId="77777777" w:rsidR="00570BC2" w:rsidRPr="00654044" w:rsidRDefault="00570BC2" w:rsidP="00654044">
            <w:pPr>
              <w:jc w:val="center"/>
              <w:rPr>
                <w:rFonts w:ascii="Verdana" w:hAnsi="Verdana"/>
                <w:b/>
                <w:sz w:val="20"/>
                <w:szCs w:val="20"/>
              </w:rPr>
            </w:pPr>
            <w:r w:rsidRPr="00654044">
              <w:rPr>
                <w:rFonts w:ascii="Verdana" w:hAnsi="Verdana"/>
                <w:b/>
                <w:sz w:val="20"/>
                <w:szCs w:val="20"/>
              </w:rPr>
              <w:t>Rec No.</w:t>
            </w:r>
          </w:p>
        </w:tc>
        <w:tc>
          <w:tcPr>
            <w:tcW w:w="3406" w:type="dxa"/>
          </w:tcPr>
          <w:p w14:paraId="69A46A4F" w14:textId="77777777" w:rsidR="00570BC2" w:rsidRPr="00654044" w:rsidRDefault="00570BC2" w:rsidP="00654044">
            <w:pPr>
              <w:jc w:val="center"/>
              <w:rPr>
                <w:rFonts w:ascii="Verdana" w:hAnsi="Verdana"/>
                <w:b/>
                <w:sz w:val="20"/>
                <w:szCs w:val="20"/>
              </w:rPr>
            </w:pPr>
            <w:r w:rsidRPr="00654044">
              <w:rPr>
                <w:rFonts w:ascii="Verdana" w:hAnsi="Verdana"/>
                <w:b/>
                <w:sz w:val="20"/>
                <w:szCs w:val="20"/>
              </w:rPr>
              <w:t>Recommendation</w:t>
            </w:r>
          </w:p>
        </w:tc>
        <w:tc>
          <w:tcPr>
            <w:tcW w:w="6830" w:type="dxa"/>
          </w:tcPr>
          <w:p w14:paraId="638F5AFF" w14:textId="77777777" w:rsidR="00570BC2" w:rsidRPr="00654044" w:rsidRDefault="00570BC2" w:rsidP="00654044">
            <w:pPr>
              <w:jc w:val="center"/>
              <w:rPr>
                <w:rFonts w:ascii="Verdana" w:hAnsi="Verdana"/>
                <w:b/>
                <w:sz w:val="20"/>
                <w:szCs w:val="20"/>
              </w:rPr>
            </w:pPr>
            <w:r>
              <w:rPr>
                <w:rFonts w:ascii="Verdana" w:hAnsi="Verdana"/>
                <w:b/>
                <w:sz w:val="20"/>
                <w:szCs w:val="20"/>
              </w:rPr>
              <w:t>Response and status</w:t>
            </w:r>
          </w:p>
        </w:tc>
        <w:tc>
          <w:tcPr>
            <w:tcW w:w="1843" w:type="dxa"/>
          </w:tcPr>
          <w:p w14:paraId="0DA2E3F9" w14:textId="77777777" w:rsidR="00570BC2" w:rsidRPr="00654044" w:rsidRDefault="00570BC2" w:rsidP="00654044">
            <w:pPr>
              <w:jc w:val="center"/>
              <w:rPr>
                <w:rFonts w:ascii="Verdana" w:hAnsi="Verdana"/>
                <w:b/>
                <w:sz w:val="20"/>
                <w:szCs w:val="20"/>
              </w:rPr>
            </w:pPr>
            <w:r w:rsidRPr="00654044">
              <w:rPr>
                <w:rFonts w:ascii="Verdana" w:hAnsi="Verdana"/>
                <w:b/>
                <w:sz w:val="20"/>
                <w:szCs w:val="20"/>
              </w:rPr>
              <w:t>Responsibility</w:t>
            </w:r>
          </w:p>
        </w:tc>
        <w:tc>
          <w:tcPr>
            <w:tcW w:w="1450" w:type="dxa"/>
          </w:tcPr>
          <w:p w14:paraId="3D107A2F" w14:textId="77777777" w:rsidR="00570BC2" w:rsidRPr="00654044" w:rsidRDefault="00570BC2" w:rsidP="00654044">
            <w:pPr>
              <w:jc w:val="center"/>
              <w:rPr>
                <w:rFonts w:ascii="Verdana" w:hAnsi="Verdana"/>
                <w:b/>
                <w:sz w:val="20"/>
                <w:szCs w:val="20"/>
              </w:rPr>
            </w:pPr>
            <w:r>
              <w:rPr>
                <w:rFonts w:ascii="Verdana" w:hAnsi="Verdana"/>
                <w:b/>
                <w:sz w:val="20"/>
                <w:szCs w:val="20"/>
              </w:rPr>
              <w:t>Timeline</w:t>
            </w:r>
          </w:p>
        </w:tc>
      </w:tr>
      <w:tr w:rsidR="00570BC2" w14:paraId="6EBFC0F5" w14:textId="77777777" w:rsidTr="00570BC2">
        <w:tc>
          <w:tcPr>
            <w:tcW w:w="645" w:type="dxa"/>
          </w:tcPr>
          <w:p w14:paraId="071862A0" w14:textId="77777777" w:rsidR="00570BC2" w:rsidRPr="00E16374" w:rsidRDefault="00570BC2" w:rsidP="00852EDB">
            <w:pPr>
              <w:rPr>
                <w:rFonts w:ascii="Calibri" w:hAnsi="Calibri" w:cs="Calibri"/>
                <w:sz w:val="22"/>
                <w:szCs w:val="22"/>
              </w:rPr>
            </w:pPr>
            <w:r>
              <w:rPr>
                <w:rFonts w:ascii="Calibri" w:hAnsi="Calibri" w:cs="Calibri"/>
                <w:sz w:val="22"/>
                <w:szCs w:val="22"/>
              </w:rPr>
              <w:t>15</w:t>
            </w:r>
          </w:p>
        </w:tc>
        <w:tc>
          <w:tcPr>
            <w:tcW w:w="3406" w:type="dxa"/>
          </w:tcPr>
          <w:p w14:paraId="4D8C383D" w14:textId="77777777" w:rsidR="00570BC2" w:rsidRPr="00801950" w:rsidRDefault="00570BC2" w:rsidP="00801950">
            <w:pPr>
              <w:rPr>
                <w:rFonts w:ascii="Calibri" w:hAnsi="Calibri" w:cs="Calibri"/>
                <w:sz w:val="22"/>
                <w:szCs w:val="22"/>
              </w:rPr>
            </w:pPr>
            <w:r w:rsidRPr="00801950">
              <w:rPr>
                <w:rFonts w:ascii="Calibri" w:hAnsi="Calibri" w:cs="Calibri"/>
                <w:sz w:val="22"/>
                <w:szCs w:val="22"/>
              </w:rPr>
              <w:t>The panel notes that the research climate is now well supported by world class infrastructure and recent hires, and recommends that further small investment be undertaken to ensure this translates into successful ARC initiatives. (see part One above)</w:t>
            </w:r>
          </w:p>
          <w:p w14:paraId="17566B22" w14:textId="77777777" w:rsidR="00570BC2" w:rsidRPr="00E16374" w:rsidRDefault="00570BC2" w:rsidP="00852EDB">
            <w:pPr>
              <w:rPr>
                <w:rFonts w:ascii="Calibri" w:hAnsi="Calibri" w:cs="Calibri"/>
                <w:sz w:val="22"/>
                <w:szCs w:val="22"/>
              </w:rPr>
            </w:pPr>
          </w:p>
        </w:tc>
        <w:tc>
          <w:tcPr>
            <w:tcW w:w="6830" w:type="dxa"/>
          </w:tcPr>
          <w:p w14:paraId="087590BF" w14:textId="7A6D950C" w:rsidR="00570BC2" w:rsidRPr="00E16374" w:rsidRDefault="00570BC2" w:rsidP="003C28E0">
            <w:pPr>
              <w:rPr>
                <w:rFonts w:ascii="Calibri" w:hAnsi="Calibri" w:cs="Calibri"/>
                <w:sz w:val="22"/>
                <w:szCs w:val="22"/>
              </w:rPr>
            </w:pPr>
            <w:r w:rsidRPr="000473B3">
              <w:rPr>
                <w:rFonts w:ascii="Calibri" w:hAnsi="Calibri" w:cs="Calibri"/>
                <w:sz w:val="22"/>
                <w:szCs w:val="22"/>
              </w:rPr>
              <w:t>Agreed</w:t>
            </w:r>
            <w:r w:rsidR="003C28E0">
              <w:rPr>
                <w:rFonts w:ascii="Calibri" w:hAnsi="Calibri" w:cs="Calibri"/>
                <w:sz w:val="22"/>
                <w:szCs w:val="22"/>
              </w:rPr>
              <w:t xml:space="preserve"> and commenced.</w:t>
            </w:r>
            <w:r w:rsidRPr="000473B3">
              <w:rPr>
                <w:rFonts w:ascii="Calibri" w:hAnsi="Calibri" w:cs="Calibri"/>
                <w:sz w:val="22"/>
                <w:szCs w:val="22"/>
              </w:rPr>
              <w:br/>
            </w:r>
          </w:p>
        </w:tc>
        <w:tc>
          <w:tcPr>
            <w:tcW w:w="1843" w:type="dxa"/>
          </w:tcPr>
          <w:p w14:paraId="213E9C92" w14:textId="77777777" w:rsidR="00570BC2" w:rsidRDefault="00570BC2" w:rsidP="00852EDB">
            <w:pPr>
              <w:rPr>
                <w:rFonts w:ascii="Calibri" w:hAnsi="Calibri" w:cs="Calibri"/>
                <w:sz w:val="22"/>
                <w:szCs w:val="22"/>
              </w:rPr>
            </w:pPr>
            <w:r>
              <w:rPr>
                <w:rFonts w:ascii="Calibri" w:hAnsi="Calibri" w:cs="Calibri"/>
                <w:sz w:val="22"/>
                <w:szCs w:val="22"/>
              </w:rPr>
              <w:t>HOD</w:t>
            </w:r>
          </w:p>
          <w:p w14:paraId="7A0954D1" w14:textId="77777777" w:rsidR="00570BC2" w:rsidRPr="00E16374" w:rsidRDefault="00570BC2" w:rsidP="00852EDB">
            <w:pPr>
              <w:rPr>
                <w:rFonts w:ascii="Calibri" w:hAnsi="Calibri" w:cs="Calibri"/>
                <w:sz w:val="22"/>
                <w:szCs w:val="22"/>
              </w:rPr>
            </w:pPr>
            <w:r>
              <w:rPr>
                <w:rFonts w:ascii="Calibri" w:hAnsi="Calibri" w:cs="Calibri"/>
                <w:sz w:val="22"/>
                <w:szCs w:val="22"/>
              </w:rPr>
              <w:t>Research Director</w:t>
            </w:r>
          </w:p>
        </w:tc>
        <w:tc>
          <w:tcPr>
            <w:tcW w:w="1450" w:type="dxa"/>
          </w:tcPr>
          <w:p w14:paraId="5307D694" w14:textId="487E5187" w:rsidR="00570BC2" w:rsidRPr="00E16374" w:rsidRDefault="003C28E0" w:rsidP="00852EDB">
            <w:pPr>
              <w:rPr>
                <w:rFonts w:ascii="Calibri" w:hAnsi="Calibri" w:cs="Calibri"/>
                <w:sz w:val="22"/>
                <w:szCs w:val="22"/>
              </w:rPr>
            </w:pPr>
            <w:r>
              <w:rPr>
                <w:rFonts w:ascii="Calibri" w:hAnsi="Calibri" w:cs="Calibri"/>
                <w:sz w:val="22"/>
                <w:szCs w:val="22"/>
              </w:rPr>
              <w:t>Commenced</w:t>
            </w:r>
          </w:p>
        </w:tc>
      </w:tr>
      <w:tr w:rsidR="00570BC2" w14:paraId="105A56E4" w14:textId="77777777" w:rsidTr="00570BC2">
        <w:tc>
          <w:tcPr>
            <w:tcW w:w="645" w:type="dxa"/>
          </w:tcPr>
          <w:p w14:paraId="4D5A6500" w14:textId="77777777" w:rsidR="00570BC2" w:rsidRPr="00E16374" w:rsidRDefault="00570BC2" w:rsidP="00852EDB">
            <w:pPr>
              <w:rPr>
                <w:rFonts w:ascii="Calibri" w:hAnsi="Calibri" w:cs="Calibri"/>
                <w:sz w:val="22"/>
                <w:szCs w:val="22"/>
              </w:rPr>
            </w:pPr>
            <w:r>
              <w:rPr>
                <w:rFonts w:ascii="Calibri" w:hAnsi="Calibri" w:cs="Calibri"/>
                <w:sz w:val="22"/>
                <w:szCs w:val="22"/>
              </w:rPr>
              <w:t>16</w:t>
            </w:r>
          </w:p>
        </w:tc>
        <w:tc>
          <w:tcPr>
            <w:tcW w:w="3406" w:type="dxa"/>
          </w:tcPr>
          <w:p w14:paraId="1FE17D5B" w14:textId="77777777" w:rsidR="00570BC2" w:rsidRPr="00801950" w:rsidRDefault="00570BC2" w:rsidP="00801950">
            <w:pPr>
              <w:rPr>
                <w:rFonts w:ascii="Calibri" w:hAnsi="Calibri" w:cs="Calibri"/>
                <w:sz w:val="22"/>
                <w:szCs w:val="22"/>
              </w:rPr>
            </w:pPr>
            <w:r w:rsidRPr="00801950">
              <w:rPr>
                <w:rFonts w:ascii="Calibri" w:hAnsi="Calibri" w:cs="Calibri"/>
                <w:sz w:val="22"/>
                <w:szCs w:val="22"/>
              </w:rPr>
              <w:t>The panel also recommends that creative practice researchers be encouraged to take advantage of the facilities in theatre, dance, film, media and music production.</w:t>
            </w:r>
          </w:p>
          <w:p w14:paraId="2892C30F" w14:textId="77777777" w:rsidR="00570BC2" w:rsidRPr="00E16374" w:rsidRDefault="00570BC2" w:rsidP="00852EDB">
            <w:pPr>
              <w:rPr>
                <w:rFonts w:ascii="Calibri" w:hAnsi="Calibri" w:cs="Calibri"/>
                <w:sz w:val="22"/>
                <w:szCs w:val="22"/>
              </w:rPr>
            </w:pPr>
          </w:p>
        </w:tc>
        <w:tc>
          <w:tcPr>
            <w:tcW w:w="6830" w:type="dxa"/>
          </w:tcPr>
          <w:p w14:paraId="2151D65E" w14:textId="77777777" w:rsidR="00570BC2" w:rsidRPr="00E16374" w:rsidRDefault="00570BC2" w:rsidP="00852EDB">
            <w:pPr>
              <w:rPr>
                <w:rFonts w:ascii="Calibri" w:hAnsi="Calibri" w:cs="Calibri"/>
                <w:sz w:val="22"/>
                <w:szCs w:val="22"/>
              </w:rPr>
            </w:pPr>
            <w:r>
              <w:rPr>
                <w:rFonts w:ascii="Calibri" w:hAnsi="Calibri" w:cs="Calibri"/>
                <w:sz w:val="22"/>
                <w:szCs w:val="22"/>
              </w:rPr>
              <w:t>Agreed</w:t>
            </w:r>
          </w:p>
        </w:tc>
        <w:tc>
          <w:tcPr>
            <w:tcW w:w="1843" w:type="dxa"/>
          </w:tcPr>
          <w:p w14:paraId="530C481C" w14:textId="19374E77" w:rsidR="003C28E0" w:rsidRDefault="003C28E0" w:rsidP="00852EDB">
            <w:pPr>
              <w:rPr>
                <w:rFonts w:ascii="Calibri" w:hAnsi="Calibri" w:cs="Calibri"/>
                <w:sz w:val="22"/>
                <w:szCs w:val="22"/>
              </w:rPr>
            </w:pPr>
            <w:r>
              <w:rPr>
                <w:rFonts w:ascii="Calibri" w:hAnsi="Calibri" w:cs="Calibri"/>
                <w:sz w:val="22"/>
                <w:szCs w:val="22"/>
              </w:rPr>
              <w:t>Research Director</w:t>
            </w:r>
          </w:p>
          <w:p w14:paraId="5B99854D" w14:textId="77777777" w:rsidR="00570BC2" w:rsidRPr="00E16374" w:rsidRDefault="00570BC2" w:rsidP="00852EDB">
            <w:pPr>
              <w:rPr>
                <w:rFonts w:ascii="Calibri" w:hAnsi="Calibri" w:cs="Calibri"/>
                <w:sz w:val="22"/>
                <w:szCs w:val="22"/>
              </w:rPr>
            </w:pPr>
            <w:r>
              <w:rPr>
                <w:rFonts w:ascii="Calibri" w:hAnsi="Calibri" w:cs="Calibri"/>
                <w:sz w:val="22"/>
                <w:szCs w:val="22"/>
              </w:rPr>
              <w:t>Creative Practice Researchers</w:t>
            </w:r>
          </w:p>
        </w:tc>
        <w:tc>
          <w:tcPr>
            <w:tcW w:w="1450" w:type="dxa"/>
          </w:tcPr>
          <w:p w14:paraId="2B9BBACF" w14:textId="58FBE851" w:rsidR="00570BC2" w:rsidRPr="00E16374" w:rsidRDefault="003C28E0" w:rsidP="00852EDB">
            <w:pPr>
              <w:rPr>
                <w:rFonts w:ascii="Calibri" w:hAnsi="Calibri" w:cs="Calibri"/>
                <w:sz w:val="22"/>
                <w:szCs w:val="22"/>
              </w:rPr>
            </w:pPr>
            <w:r>
              <w:rPr>
                <w:rFonts w:ascii="Calibri" w:hAnsi="Calibri" w:cs="Calibri"/>
                <w:sz w:val="22"/>
                <w:szCs w:val="22"/>
              </w:rPr>
              <w:t>Commenced</w:t>
            </w:r>
          </w:p>
        </w:tc>
      </w:tr>
    </w:tbl>
    <w:p w14:paraId="74C42B70" w14:textId="77777777" w:rsidR="0063693E" w:rsidRDefault="0063693E" w:rsidP="0063693E">
      <w:pPr>
        <w:pStyle w:val="Heading3"/>
        <w:numPr>
          <w:ilvl w:val="0"/>
          <w:numId w:val="1"/>
        </w:numPr>
      </w:pPr>
      <w:r>
        <w:t>Research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06"/>
        <w:gridCol w:w="6830"/>
        <w:gridCol w:w="1843"/>
        <w:gridCol w:w="1450"/>
      </w:tblGrid>
      <w:tr w:rsidR="00570BC2" w14:paraId="416B9ED8" w14:textId="77777777" w:rsidTr="00570BC2">
        <w:tc>
          <w:tcPr>
            <w:tcW w:w="645" w:type="dxa"/>
          </w:tcPr>
          <w:p w14:paraId="24C353E3" w14:textId="77777777" w:rsidR="00570BC2" w:rsidRPr="00654044" w:rsidRDefault="00570BC2" w:rsidP="00654044">
            <w:pPr>
              <w:jc w:val="center"/>
              <w:rPr>
                <w:rFonts w:ascii="Verdana" w:hAnsi="Verdana"/>
                <w:b/>
                <w:sz w:val="20"/>
                <w:szCs w:val="20"/>
              </w:rPr>
            </w:pPr>
            <w:r w:rsidRPr="00654044">
              <w:rPr>
                <w:rFonts w:ascii="Verdana" w:hAnsi="Verdana"/>
                <w:b/>
                <w:sz w:val="20"/>
                <w:szCs w:val="20"/>
              </w:rPr>
              <w:t>Rec No.</w:t>
            </w:r>
          </w:p>
        </w:tc>
        <w:tc>
          <w:tcPr>
            <w:tcW w:w="3406" w:type="dxa"/>
          </w:tcPr>
          <w:p w14:paraId="7475EA07" w14:textId="77777777" w:rsidR="00570BC2" w:rsidRPr="00654044" w:rsidRDefault="00570BC2" w:rsidP="00654044">
            <w:pPr>
              <w:jc w:val="center"/>
              <w:rPr>
                <w:rFonts w:ascii="Verdana" w:hAnsi="Verdana"/>
                <w:b/>
                <w:sz w:val="20"/>
                <w:szCs w:val="20"/>
              </w:rPr>
            </w:pPr>
            <w:r w:rsidRPr="00654044">
              <w:rPr>
                <w:rFonts w:ascii="Verdana" w:hAnsi="Verdana"/>
                <w:b/>
                <w:sz w:val="20"/>
                <w:szCs w:val="20"/>
              </w:rPr>
              <w:t>Recommendation</w:t>
            </w:r>
          </w:p>
        </w:tc>
        <w:tc>
          <w:tcPr>
            <w:tcW w:w="6830" w:type="dxa"/>
          </w:tcPr>
          <w:p w14:paraId="6AA00215" w14:textId="77777777" w:rsidR="00570BC2" w:rsidRPr="00654044" w:rsidRDefault="00570BC2" w:rsidP="00654044">
            <w:pPr>
              <w:jc w:val="center"/>
              <w:rPr>
                <w:rFonts w:ascii="Verdana" w:hAnsi="Verdana"/>
                <w:b/>
                <w:sz w:val="20"/>
                <w:szCs w:val="20"/>
              </w:rPr>
            </w:pPr>
            <w:r>
              <w:rPr>
                <w:rFonts w:ascii="Verdana" w:hAnsi="Verdana"/>
                <w:b/>
                <w:sz w:val="20"/>
                <w:szCs w:val="20"/>
              </w:rPr>
              <w:t>Response and Status</w:t>
            </w:r>
          </w:p>
        </w:tc>
        <w:tc>
          <w:tcPr>
            <w:tcW w:w="1843" w:type="dxa"/>
          </w:tcPr>
          <w:p w14:paraId="177CBD11" w14:textId="77777777" w:rsidR="00570BC2" w:rsidRPr="00654044" w:rsidRDefault="00570BC2" w:rsidP="00654044">
            <w:pPr>
              <w:jc w:val="center"/>
              <w:rPr>
                <w:rFonts w:ascii="Verdana" w:hAnsi="Verdana"/>
                <w:b/>
                <w:sz w:val="20"/>
                <w:szCs w:val="20"/>
              </w:rPr>
            </w:pPr>
            <w:r w:rsidRPr="00654044">
              <w:rPr>
                <w:rFonts w:ascii="Verdana" w:hAnsi="Verdana"/>
                <w:b/>
                <w:sz w:val="20"/>
                <w:szCs w:val="20"/>
              </w:rPr>
              <w:t>Responsibility</w:t>
            </w:r>
          </w:p>
        </w:tc>
        <w:tc>
          <w:tcPr>
            <w:tcW w:w="1450" w:type="dxa"/>
          </w:tcPr>
          <w:p w14:paraId="276DFC0F" w14:textId="77777777" w:rsidR="00570BC2" w:rsidRPr="00654044" w:rsidRDefault="00570BC2" w:rsidP="00654044">
            <w:pPr>
              <w:jc w:val="center"/>
              <w:rPr>
                <w:rFonts w:ascii="Verdana" w:hAnsi="Verdana"/>
                <w:b/>
                <w:sz w:val="20"/>
                <w:szCs w:val="20"/>
              </w:rPr>
            </w:pPr>
            <w:r>
              <w:rPr>
                <w:rFonts w:ascii="Verdana" w:hAnsi="Verdana"/>
                <w:b/>
                <w:sz w:val="20"/>
                <w:szCs w:val="20"/>
              </w:rPr>
              <w:t>Timeline</w:t>
            </w:r>
          </w:p>
        </w:tc>
      </w:tr>
      <w:tr w:rsidR="00570BC2" w14:paraId="4DA683F3" w14:textId="77777777" w:rsidTr="00570BC2">
        <w:tc>
          <w:tcPr>
            <w:tcW w:w="645" w:type="dxa"/>
          </w:tcPr>
          <w:p w14:paraId="58B9A4AD" w14:textId="77777777" w:rsidR="00570BC2" w:rsidRPr="00E16374" w:rsidRDefault="00570BC2" w:rsidP="00852EDB">
            <w:pPr>
              <w:rPr>
                <w:rFonts w:ascii="Calibri" w:hAnsi="Calibri" w:cs="Calibri"/>
                <w:sz w:val="22"/>
                <w:szCs w:val="22"/>
              </w:rPr>
            </w:pPr>
            <w:r>
              <w:rPr>
                <w:rFonts w:ascii="Calibri" w:hAnsi="Calibri" w:cs="Calibri"/>
                <w:sz w:val="22"/>
                <w:szCs w:val="22"/>
              </w:rPr>
              <w:t>17</w:t>
            </w:r>
          </w:p>
        </w:tc>
        <w:tc>
          <w:tcPr>
            <w:tcW w:w="3406" w:type="dxa"/>
          </w:tcPr>
          <w:p w14:paraId="64EF6360" w14:textId="77777777" w:rsidR="00570BC2" w:rsidRPr="00801950" w:rsidRDefault="00570BC2" w:rsidP="00801950">
            <w:pPr>
              <w:rPr>
                <w:rFonts w:ascii="Calibri" w:hAnsi="Calibri" w:cs="Calibri"/>
                <w:sz w:val="22"/>
                <w:szCs w:val="22"/>
              </w:rPr>
            </w:pPr>
            <w:r w:rsidRPr="00801950">
              <w:rPr>
                <w:rFonts w:ascii="Calibri" w:hAnsi="Calibri" w:cs="Calibri"/>
                <w:sz w:val="22"/>
                <w:szCs w:val="22"/>
              </w:rPr>
              <w:t>To further enhance the HDR work the panel recommends an expanded role for the HDR committee to assist with matters beyond the administration of admissions, for example, to draft exam guidelines for creative practice.</w:t>
            </w:r>
          </w:p>
          <w:p w14:paraId="4EC4549B" w14:textId="77777777" w:rsidR="00570BC2" w:rsidRPr="00E16374" w:rsidRDefault="00570BC2" w:rsidP="00801950">
            <w:pPr>
              <w:ind w:firstLine="720"/>
              <w:rPr>
                <w:rFonts w:ascii="Calibri" w:hAnsi="Calibri" w:cs="Calibri"/>
                <w:sz w:val="22"/>
                <w:szCs w:val="22"/>
              </w:rPr>
            </w:pPr>
          </w:p>
        </w:tc>
        <w:tc>
          <w:tcPr>
            <w:tcW w:w="6830" w:type="dxa"/>
          </w:tcPr>
          <w:p w14:paraId="5CEEAC60" w14:textId="4481B6F5" w:rsidR="000473B3" w:rsidRPr="004C0E9B" w:rsidRDefault="0042243D" w:rsidP="0042243D">
            <w:r>
              <w:rPr>
                <w:rFonts w:ascii="Calibri" w:hAnsi="Calibri" w:cs="Calibri"/>
                <w:sz w:val="22"/>
                <w:szCs w:val="22"/>
              </w:rPr>
              <w:lastRenderedPageBreak/>
              <w:t xml:space="preserve"> </w:t>
            </w:r>
            <w:r w:rsidR="00570BC2">
              <w:rPr>
                <w:rFonts w:ascii="Calibri" w:hAnsi="Calibri" w:cs="Calibri"/>
                <w:sz w:val="22"/>
                <w:szCs w:val="22"/>
              </w:rPr>
              <w:t>Agreed and commenced</w:t>
            </w:r>
            <w:r w:rsidR="00570BC2">
              <w:rPr>
                <w:rFonts w:ascii="Calibri" w:hAnsi="Calibri" w:cs="Calibri"/>
                <w:sz w:val="22"/>
                <w:szCs w:val="22"/>
              </w:rPr>
              <w:br/>
            </w:r>
          </w:p>
          <w:p w14:paraId="6DFEC3C2" w14:textId="77777777" w:rsidR="00570BC2" w:rsidRPr="00E16374" w:rsidRDefault="00570BC2" w:rsidP="0098248C">
            <w:pPr>
              <w:ind w:left="1080"/>
              <w:rPr>
                <w:rFonts w:ascii="Calibri" w:hAnsi="Calibri" w:cs="Calibri"/>
                <w:sz w:val="22"/>
                <w:szCs w:val="22"/>
              </w:rPr>
            </w:pPr>
          </w:p>
        </w:tc>
        <w:tc>
          <w:tcPr>
            <w:tcW w:w="1843" w:type="dxa"/>
          </w:tcPr>
          <w:p w14:paraId="61A8E1BC" w14:textId="77777777" w:rsidR="00570BC2" w:rsidRPr="00E16374" w:rsidRDefault="00570BC2" w:rsidP="00852EDB">
            <w:pPr>
              <w:rPr>
                <w:rFonts w:ascii="Calibri" w:hAnsi="Calibri" w:cs="Calibri"/>
                <w:sz w:val="22"/>
                <w:szCs w:val="22"/>
              </w:rPr>
            </w:pPr>
            <w:r>
              <w:rPr>
                <w:rFonts w:ascii="Calibri" w:hAnsi="Calibri" w:cs="Calibri"/>
                <w:sz w:val="22"/>
                <w:szCs w:val="22"/>
              </w:rPr>
              <w:t>HDR Director</w:t>
            </w:r>
          </w:p>
        </w:tc>
        <w:tc>
          <w:tcPr>
            <w:tcW w:w="1450" w:type="dxa"/>
          </w:tcPr>
          <w:p w14:paraId="26E8D7AB" w14:textId="29AF489F" w:rsidR="00570BC2" w:rsidRPr="00E16374" w:rsidRDefault="0042243D" w:rsidP="00B50576">
            <w:pPr>
              <w:rPr>
                <w:rFonts w:ascii="Calibri" w:hAnsi="Calibri" w:cs="Calibri"/>
                <w:sz w:val="22"/>
                <w:szCs w:val="22"/>
              </w:rPr>
            </w:pPr>
            <w:r>
              <w:rPr>
                <w:rFonts w:ascii="Calibri" w:hAnsi="Calibri" w:cs="Calibri"/>
                <w:sz w:val="22"/>
                <w:szCs w:val="22"/>
              </w:rPr>
              <w:t>Underway</w:t>
            </w:r>
          </w:p>
        </w:tc>
      </w:tr>
      <w:tr w:rsidR="00570BC2" w14:paraId="75F84A3E" w14:textId="77777777" w:rsidTr="00570BC2">
        <w:tc>
          <w:tcPr>
            <w:tcW w:w="645" w:type="dxa"/>
          </w:tcPr>
          <w:p w14:paraId="0820F066" w14:textId="77777777" w:rsidR="00570BC2" w:rsidRPr="00E16374" w:rsidRDefault="00570BC2" w:rsidP="00852EDB">
            <w:pPr>
              <w:rPr>
                <w:rFonts w:ascii="Calibri" w:hAnsi="Calibri" w:cs="Calibri"/>
                <w:sz w:val="22"/>
                <w:szCs w:val="22"/>
              </w:rPr>
            </w:pPr>
            <w:r>
              <w:rPr>
                <w:rFonts w:ascii="Calibri" w:hAnsi="Calibri" w:cs="Calibri"/>
                <w:sz w:val="22"/>
                <w:szCs w:val="22"/>
              </w:rPr>
              <w:lastRenderedPageBreak/>
              <w:t>18</w:t>
            </w:r>
          </w:p>
        </w:tc>
        <w:tc>
          <w:tcPr>
            <w:tcW w:w="3406" w:type="dxa"/>
          </w:tcPr>
          <w:p w14:paraId="72B33AD7" w14:textId="77777777" w:rsidR="00570BC2" w:rsidRPr="00A0541D" w:rsidRDefault="00570BC2" w:rsidP="00A0541D">
            <w:pPr>
              <w:rPr>
                <w:rFonts w:ascii="Calibri" w:hAnsi="Calibri" w:cs="Calibri"/>
                <w:sz w:val="22"/>
                <w:szCs w:val="22"/>
              </w:rPr>
            </w:pPr>
            <w:r w:rsidRPr="00A0541D">
              <w:rPr>
                <w:rFonts w:ascii="Calibri" w:hAnsi="Calibri" w:cs="Calibri"/>
                <w:sz w:val="22"/>
                <w:szCs w:val="22"/>
              </w:rPr>
              <w:t>The constitution of this committee should also be reviewed with disciplinary reps replaced by research area reps. The panel recommends that a budget line be created for creative practice examinations to facilitate a visit to campus by examiners where required.</w:t>
            </w:r>
          </w:p>
          <w:p w14:paraId="60E53660" w14:textId="77777777" w:rsidR="00570BC2" w:rsidRPr="00E16374" w:rsidRDefault="00570BC2" w:rsidP="00852EDB">
            <w:pPr>
              <w:rPr>
                <w:rFonts w:ascii="Calibri" w:hAnsi="Calibri" w:cs="Calibri"/>
                <w:sz w:val="22"/>
                <w:szCs w:val="22"/>
              </w:rPr>
            </w:pPr>
          </w:p>
        </w:tc>
        <w:tc>
          <w:tcPr>
            <w:tcW w:w="6830" w:type="dxa"/>
          </w:tcPr>
          <w:p w14:paraId="5463ECD9" w14:textId="77777777" w:rsidR="00570BC2" w:rsidRPr="00E16374" w:rsidRDefault="00570BC2" w:rsidP="00852EDB">
            <w:pPr>
              <w:rPr>
                <w:rFonts w:ascii="Calibri" w:hAnsi="Calibri" w:cs="Calibri"/>
                <w:sz w:val="22"/>
                <w:szCs w:val="22"/>
              </w:rPr>
            </w:pPr>
            <w:r>
              <w:rPr>
                <w:rFonts w:ascii="Calibri" w:hAnsi="Calibri" w:cs="Calibri"/>
                <w:sz w:val="22"/>
                <w:szCs w:val="22"/>
              </w:rPr>
              <w:t>Agreed and commenced</w:t>
            </w:r>
          </w:p>
        </w:tc>
        <w:tc>
          <w:tcPr>
            <w:tcW w:w="1843" w:type="dxa"/>
          </w:tcPr>
          <w:p w14:paraId="188210DC" w14:textId="77777777" w:rsidR="00570BC2" w:rsidRPr="00E16374" w:rsidRDefault="00570BC2" w:rsidP="00852EDB">
            <w:pPr>
              <w:rPr>
                <w:rFonts w:ascii="Calibri" w:hAnsi="Calibri" w:cs="Calibri"/>
                <w:sz w:val="22"/>
                <w:szCs w:val="22"/>
              </w:rPr>
            </w:pPr>
            <w:r>
              <w:rPr>
                <w:rFonts w:ascii="Calibri" w:hAnsi="Calibri" w:cs="Calibri"/>
                <w:sz w:val="22"/>
                <w:szCs w:val="22"/>
              </w:rPr>
              <w:t>HDR Director</w:t>
            </w:r>
          </w:p>
        </w:tc>
        <w:tc>
          <w:tcPr>
            <w:tcW w:w="1450" w:type="dxa"/>
          </w:tcPr>
          <w:p w14:paraId="50CD7B19" w14:textId="3FB6E7D7" w:rsidR="00570BC2" w:rsidRPr="00E16374" w:rsidRDefault="0098248C" w:rsidP="00B50576">
            <w:pPr>
              <w:rPr>
                <w:rFonts w:ascii="Calibri" w:hAnsi="Calibri" w:cs="Calibri"/>
                <w:sz w:val="22"/>
                <w:szCs w:val="22"/>
              </w:rPr>
            </w:pPr>
            <w:r>
              <w:rPr>
                <w:rFonts w:ascii="Calibri" w:hAnsi="Calibri" w:cs="Calibri"/>
                <w:sz w:val="22"/>
                <w:szCs w:val="22"/>
              </w:rPr>
              <w:t>Underway</w:t>
            </w:r>
          </w:p>
        </w:tc>
      </w:tr>
      <w:tr w:rsidR="00570BC2" w14:paraId="1F42939B" w14:textId="77777777" w:rsidTr="00570BC2">
        <w:tc>
          <w:tcPr>
            <w:tcW w:w="645" w:type="dxa"/>
          </w:tcPr>
          <w:p w14:paraId="51451665" w14:textId="77777777" w:rsidR="00570BC2" w:rsidRPr="00E16374" w:rsidRDefault="00570BC2" w:rsidP="00852EDB">
            <w:pPr>
              <w:rPr>
                <w:rFonts w:ascii="Calibri" w:hAnsi="Calibri" w:cs="Calibri"/>
                <w:sz w:val="22"/>
                <w:szCs w:val="22"/>
              </w:rPr>
            </w:pPr>
            <w:r>
              <w:rPr>
                <w:rFonts w:ascii="Calibri" w:hAnsi="Calibri" w:cs="Calibri"/>
                <w:sz w:val="22"/>
                <w:szCs w:val="22"/>
              </w:rPr>
              <w:t>19</w:t>
            </w:r>
          </w:p>
        </w:tc>
        <w:tc>
          <w:tcPr>
            <w:tcW w:w="3406" w:type="dxa"/>
          </w:tcPr>
          <w:p w14:paraId="627913DB" w14:textId="77777777" w:rsidR="00570BC2" w:rsidRPr="00A0541D" w:rsidRDefault="00570BC2" w:rsidP="00A0541D">
            <w:pPr>
              <w:rPr>
                <w:rFonts w:ascii="Calibri" w:hAnsi="Calibri" w:cs="Calibri"/>
                <w:sz w:val="22"/>
                <w:szCs w:val="22"/>
              </w:rPr>
            </w:pPr>
            <w:r w:rsidRPr="00A0541D">
              <w:rPr>
                <w:rFonts w:ascii="Calibri" w:hAnsi="Calibri" w:cs="Calibri"/>
                <w:sz w:val="22"/>
                <w:szCs w:val="22"/>
              </w:rPr>
              <w:t>The panel recommends that the Department appoint a staff member to coordinate research seminars to avoid overload and overlap.</w:t>
            </w:r>
          </w:p>
          <w:p w14:paraId="59FB995D" w14:textId="77777777" w:rsidR="00570BC2" w:rsidRPr="00E16374" w:rsidRDefault="00570BC2" w:rsidP="00852EDB">
            <w:pPr>
              <w:rPr>
                <w:rFonts w:ascii="Calibri" w:hAnsi="Calibri" w:cs="Calibri"/>
                <w:sz w:val="22"/>
                <w:szCs w:val="22"/>
              </w:rPr>
            </w:pPr>
          </w:p>
        </w:tc>
        <w:tc>
          <w:tcPr>
            <w:tcW w:w="6830" w:type="dxa"/>
          </w:tcPr>
          <w:p w14:paraId="243778B4" w14:textId="77777777" w:rsidR="00570BC2" w:rsidRDefault="00570BC2" w:rsidP="00852EDB">
            <w:pPr>
              <w:rPr>
                <w:rFonts w:ascii="Calibri" w:hAnsi="Calibri" w:cs="Calibri"/>
                <w:sz w:val="22"/>
                <w:szCs w:val="22"/>
              </w:rPr>
            </w:pPr>
            <w:r>
              <w:rPr>
                <w:rFonts w:ascii="Calibri" w:hAnsi="Calibri" w:cs="Calibri"/>
                <w:sz w:val="22"/>
                <w:szCs w:val="22"/>
              </w:rPr>
              <w:t>N/A</w:t>
            </w:r>
          </w:p>
          <w:p w14:paraId="7F1E44CA" w14:textId="77777777" w:rsidR="00570BC2" w:rsidRPr="00E16374" w:rsidRDefault="00570BC2" w:rsidP="00852EDB">
            <w:pPr>
              <w:rPr>
                <w:rFonts w:ascii="Calibri" w:hAnsi="Calibri" w:cs="Calibri"/>
                <w:sz w:val="22"/>
                <w:szCs w:val="22"/>
              </w:rPr>
            </w:pPr>
            <w:r>
              <w:rPr>
                <w:rFonts w:ascii="Calibri" w:hAnsi="Calibri" w:cs="Calibri"/>
                <w:sz w:val="22"/>
                <w:szCs w:val="22"/>
              </w:rPr>
              <w:t>Already occurring</w:t>
            </w:r>
          </w:p>
        </w:tc>
        <w:tc>
          <w:tcPr>
            <w:tcW w:w="1843" w:type="dxa"/>
          </w:tcPr>
          <w:p w14:paraId="4741EA73" w14:textId="77777777" w:rsidR="00570BC2" w:rsidRPr="00E16374" w:rsidRDefault="00570BC2" w:rsidP="00852EDB">
            <w:pPr>
              <w:rPr>
                <w:rFonts w:ascii="Calibri" w:hAnsi="Calibri" w:cs="Calibri"/>
                <w:sz w:val="22"/>
                <w:szCs w:val="22"/>
              </w:rPr>
            </w:pPr>
          </w:p>
        </w:tc>
        <w:tc>
          <w:tcPr>
            <w:tcW w:w="1450" w:type="dxa"/>
          </w:tcPr>
          <w:p w14:paraId="46CC1B5D" w14:textId="77777777" w:rsidR="00570BC2" w:rsidRPr="00E16374" w:rsidRDefault="00570BC2" w:rsidP="00B50576">
            <w:pPr>
              <w:rPr>
                <w:rFonts w:ascii="Calibri" w:hAnsi="Calibri" w:cs="Calibri"/>
                <w:sz w:val="22"/>
                <w:szCs w:val="22"/>
              </w:rPr>
            </w:pPr>
          </w:p>
        </w:tc>
      </w:tr>
    </w:tbl>
    <w:p w14:paraId="58256C76" w14:textId="77777777" w:rsidR="0063693E" w:rsidRDefault="0063693E" w:rsidP="0063693E">
      <w:pPr>
        <w:pStyle w:val="Heading3"/>
        <w:numPr>
          <w:ilvl w:val="0"/>
          <w:numId w:val="1"/>
        </w:numPr>
      </w:pPr>
      <w:r>
        <w:t>Staff and Student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06"/>
        <w:gridCol w:w="6830"/>
        <w:gridCol w:w="1843"/>
        <w:gridCol w:w="1450"/>
      </w:tblGrid>
      <w:tr w:rsidR="001615FE" w14:paraId="4265D0AF" w14:textId="77777777" w:rsidTr="001615FE">
        <w:tc>
          <w:tcPr>
            <w:tcW w:w="645" w:type="dxa"/>
          </w:tcPr>
          <w:p w14:paraId="2EBECBD3" w14:textId="77777777" w:rsidR="001615FE" w:rsidRPr="00654044" w:rsidRDefault="001615FE" w:rsidP="00654044">
            <w:pPr>
              <w:jc w:val="center"/>
              <w:rPr>
                <w:rFonts w:ascii="Verdana" w:hAnsi="Verdana"/>
                <w:b/>
                <w:sz w:val="20"/>
                <w:szCs w:val="20"/>
              </w:rPr>
            </w:pPr>
            <w:r w:rsidRPr="00654044">
              <w:rPr>
                <w:rFonts w:ascii="Verdana" w:hAnsi="Verdana"/>
                <w:b/>
                <w:sz w:val="20"/>
                <w:szCs w:val="20"/>
              </w:rPr>
              <w:t>Rec No.</w:t>
            </w:r>
          </w:p>
        </w:tc>
        <w:tc>
          <w:tcPr>
            <w:tcW w:w="3406" w:type="dxa"/>
          </w:tcPr>
          <w:p w14:paraId="689E3923" w14:textId="77777777" w:rsidR="001615FE" w:rsidRPr="00654044" w:rsidRDefault="001615FE" w:rsidP="00654044">
            <w:pPr>
              <w:jc w:val="center"/>
              <w:rPr>
                <w:rFonts w:ascii="Verdana" w:hAnsi="Verdana"/>
                <w:b/>
                <w:sz w:val="20"/>
                <w:szCs w:val="20"/>
              </w:rPr>
            </w:pPr>
            <w:r w:rsidRPr="00654044">
              <w:rPr>
                <w:rFonts w:ascii="Verdana" w:hAnsi="Verdana"/>
                <w:b/>
                <w:sz w:val="20"/>
                <w:szCs w:val="20"/>
              </w:rPr>
              <w:t>Recommendation</w:t>
            </w:r>
          </w:p>
        </w:tc>
        <w:tc>
          <w:tcPr>
            <w:tcW w:w="6830" w:type="dxa"/>
          </w:tcPr>
          <w:p w14:paraId="1902EB9A" w14:textId="77777777" w:rsidR="001615FE" w:rsidRPr="00654044" w:rsidRDefault="001615FE" w:rsidP="00654044">
            <w:pPr>
              <w:jc w:val="center"/>
              <w:rPr>
                <w:rFonts w:ascii="Verdana" w:hAnsi="Verdana"/>
                <w:b/>
                <w:sz w:val="20"/>
                <w:szCs w:val="20"/>
              </w:rPr>
            </w:pPr>
            <w:r>
              <w:rPr>
                <w:rFonts w:ascii="Verdana" w:hAnsi="Verdana"/>
                <w:b/>
                <w:sz w:val="20"/>
                <w:szCs w:val="20"/>
              </w:rPr>
              <w:t>Response and Status</w:t>
            </w:r>
          </w:p>
        </w:tc>
        <w:tc>
          <w:tcPr>
            <w:tcW w:w="1843" w:type="dxa"/>
          </w:tcPr>
          <w:p w14:paraId="20153E66" w14:textId="77777777" w:rsidR="001615FE" w:rsidRPr="00654044" w:rsidRDefault="001615FE" w:rsidP="00654044">
            <w:pPr>
              <w:jc w:val="center"/>
              <w:rPr>
                <w:rFonts w:ascii="Verdana" w:hAnsi="Verdana"/>
                <w:b/>
                <w:sz w:val="20"/>
                <w:szCs w:val="20"/>
              </w:rPr>
            </w:pPr>
            <w:r w:rsidRPr="00654044">
              <w:rPr>
                <w:rFonts w:ascii="Verdana" w:hAnsi="Verdana"/>
                <w:b/>
                <w:sz w:val="20"/>
                <w:szCs w:val="20"/>
              </w:rPr>
              <w:t>Responsibility</w:t>
            </w:r>
          </w:p>
        </w:tc>
        <w:tc>
          <w:tcPr>
            <w:tcW w:w="1450" w:type="dxa"/>
          </w:tcPr>
          <w:p w14:paraId="6A07A585" w14:textId="77777777" w:rsidR="001615FE" w:rsidRPr="00654044" w:rsidRDefault="001615FE" w:rsidP="00654044">
            <w:pPr>
              <w:jc w:val="center"/>
              <w:rPr>
                <w:rFonts w:ascii="Verdana" w:hAnsi="Verdana"/>
                <w:b/>
                <w:sz w:val="20"/>
                <w:szCs w:val="20"/>
              </w:rPr>
            </w:pPr>
            <w:r>
              <w:rPr>
                <w:rFonts w:ascii="Verdana" w:hAnsi="Verdana"/>
                <w:b/>
                <w:sz w:val="20"/>
                <w:szCs w:val="20"/>
              </w:rPr>
              <w:t>Timeline</w:t>
            </w:r>
          </w:p>
        </w:tc>
      </w:tr>
      <w:tr w:rsidR="001615FE" w14:paraId="3DA5CF8B" w14:textId="77777777" w:rsidTr="001615FE">
        <w:tc>
          <w:tcPr>
            <w:tcW w:w="645" w:type="dxa"/>
          </w:tcPr>
          <w:p w14:paraId="57039C98" w14:textId="77777777" w:rsidR="001615FE" w:rsidRPr="00E16374" w:rsidRDefault="001615FE" w:rsidP="00852EDB">
            <w:pPr>
              <w:rPr>
                <w:rFonts w:ascii="Calibri" w:hAnsi="Calibri" w:cs="Calibri"/>
                <w:sz w:val="22"/>
                <w:szCs w:val="22"/>
              </w:rPr>
            </w:pPr>
            <w:r>
              <w:rPr>
                <w:rFonts w:ascii="Calibri" w:hAnsi="Calibri" w:cs="Calibri"/>
                <w:sz w:val="22"/>
                <w:szCs w:val="22"/>
              </w:rPr>
              <w:t>20</w:t>
            </w:r>
          </w:p>
        </w:tc>
        <w:tc>
          <w:tcPr>
            <w:tcW w:w="3406" w:type="dxa"/>
          </w:tcPr>
          <w:p w14:paraId="409B56F3" w14:textId="77777777" w:rsidR="001615FE" w:rsidRPr="00A0541D" w:rsidRDefault="001615FE" w:rsidP="00A0541D">
            <w:pPr>
              <w:rPr>
                <w:rFonts w:ascii="Calibri" w:hAnsi="Calibri" w:cs="Calibri"/>
                <w:sz w:val="22"/>
                <w:szCs w:val="22"/>
              </w:rPr>
            </w:pPr>
            <w:r w:rsidRPr="00A0541D">
              <w:rPr>
                <w:rFonts w:ascii="Calibri" w:hAnsi="Calibri" w:cs="Calibri"/>
                <w:sz w:val="22"/>
                <w:szCs w:val="22"/>
              </w:rPr>
              <w:t>The panel recommends that when looking at future staffing, a balance be sought between ERA driven appointments and appointments that support the comprehensive research and teaching profile of the Department.</w:t>
            </w:r>
          </w:p>
          <w:p w14:paraId="2263790D" w14:textId="77777777" w:rsidR="001615FE" w:rsidRPr="00E16374" w:rsidRDefault="001615FE" w:rsidP="00852EDB">
            <w:pPr>
              <w:rPr>
                <w:rFonts w:ascii="Calibri" w:hAnsi="Calibri" w:cs="Calibri"/>
                <w:sz w:val="22"/>
                <w:szCs w:val="22"/>
              </w:rPr>
            </w:pPr>
          </w:p>
        </w:tc>
        <w:tc>
          <w:tcPr>
            <w:tcW w:w="6830" w:type="dxa"/>
          </w:tcPr>
          <w:p w14:paraId="5D27BA38" w14:textId="77777777" w:rsidR="001615FE" w:rsidRPr="00E16374" w:rsidRDefault="001615FE" w:rsidP="00852EDB">
            <w:pPr>
              <w:rPr>
                <w:rFonts w:ascii="Calibri" w:hAnsi="Calibri" w:cs="Calibri"/>
                <w:sz w:val="22"/>
                <w:szCs w:val="22"/>
              </w:rPr>
            </w:pPr>
            <w:r>
              <w:rPr>
                <w:rFonts w:ascii="Calibri" w:hAnsi="Calibri" w:cs="Calibri"/>
                <w:sz w:val="22"/>
                <w:szCs w:val="22"/>
              </w:rPr>
              <w:t>Agreed</w:t>
            </w:r>
          </w:p>
        </w:tc>
        <w:tc>
          <w:tcPr>
            <w:tcW w:w="1843" w:type="dxa"/>
          </w:tcPr>
          <w:p w14:paraId="581FCFA8" w14:textId="77777777" w:rsidR="001615FE" w:rsidRPr="00E16374" w:rsidRDefault="001615FE" w:rsidP="00852EDB">
            <w:pPr>
              <w:rPr>
                <w:rFonts w:ascii="Calibri" w:hAnsi="Calibri" w:cs="Calibri"/>
                <w:sz w:val="22"/>
                <w:szCs w:val="22"/>
              </w:rPr>
            </w:pPr>
            <w:r>
              <w:rPr>
                <w:rFonts w:ascii="Calibri" w:hAnsi="Calibri" w:cs="Calibri"/>
                <w:sz w:val="22"/>
                <w:szCs w:val="22"/>
              </w:rPr>
              <w:t>HOD</w:t>
            </w:r>
          </w:p>
        </w:tc>
        <w:tc>
          <w:tcPr>
            <w:tcW w:w="1450" w:type="dxa"/>
          </w:tcPr>
          <w:p w14:paraId="576E4DA6" w14:textId="7C0BE17C" w:rsidR="001615FE" w:rsidRPr="00E16374" w:rsidRDefault="000A194B" w:rsidP="00B50576">
            <w:pPr>
              <w:rPr>
                <w:rFonts w:ascii="Calibri" w:hAnsi="Calibri" w:cs="Calibri"/>
                <w:sz w:val="22"/>
                <w:szCs w:val="22"/>
              </w:rPr>
            </w:pPr>
            <w:r>
              <w:rPr>
                <w:rFonts w:ascii="Calibri" w:hAnsi="Calibri" w:cs="Calibri"/>
                <w:sz w:val="22"/>
                <w:szCs w:val="22"/>
              </w:rPr>
              <w:t>Ongoing</w:t>
            </w:r>
          </w:p>
        </w:tc>
      </w:tr>
      <w:tr w:rsidR="001615FE" w14:paraId="56CCDC12" w14:textId="77777777" w:rsidTr="001615FE">
        <w:tc>
          <w:tcPr>
            <w:tcW w:w="645" w:type="dxa"/>
          </w:tcPr>
          <w:p w14:paraId="1D17D31A" w14:textId="77777777" w:rsidR="001615FE" w:rsidRPr="00E16374" w:rsidRDefault="001615FE" w:rsidP="00852EDB">
            <w:pPr>
              <w:rPr>
                <w:rFonts w:ascii="Calibri" w:hAnsi="Calibri" w:cs="Calibri"/>
                <w:sz w:val="22"/>
                <w:szCs w:val="22"/>
              </w:rPr>
            </w:pPr>
            <w:r>
              <w:rPr>
                <w:rFonts w:ascii="Calibri" w:hAnsi="Calibri" w:cs="Calibri"/>
                <w:sz w:val="22"/>
                <w:szCs w:val="22"/>
              </w:rPr>
              <w:t>21</w:t>
            </w:r>
          </w:p>
        </w:tc>
        <w:tc>
          <w:tcPr>
            <w:tcW w:w="3406" w:type="dxa"/>
          </w:tcPr>
          <w:p w14:paraId="360A4A7D" w14:textId="61CB1BD2" w:rsidR="001615FE" w:rsidRPr="00A0541D" w:rsidRDefault="001615FE" w:rsidP="00A0541D">
            <w:pPr>
              <w:rPr>
                <w:rFonts w:ascii="Calibri" w:hAnsi="Calibri" w:cs="Calibri"/>
                <w:sz w:val="22"/>
                <w:szCs w:val="22"/>
              </w:rPr>
            </w:pPr>
            <w:r w:rsidRPr="00A0541D">
              <w:rPr>
                <w:rFonts w:ascii="Calibri" w:hAnsi="Calibri" w:cs="Calibri"/>
                <w:sz w:val="22"/>
                <w:szCs w:val="22"/>
              </w:rPr>
              <w:t xml:space="preserve">Enrolment numbers in most areas </w:t>
            </w:r>
            <w:r w:rsidRPr="00A0541D">
              <w:rPr>
                <w:rFonts w:ascii="Calibri" w:hAnsi="Calibri" w:cs="Calibri"/>
                <w:sz w:val="22"/>
                <w:szCs w:val="22"/>
              </w:rPr>
              <w:lastRenderedPageBreak/>
              <w:t>are strong and trending upward. Anecdotal evidence suggest</w:t>
            </w:r>
            <w:r w:rsidR="000A194B">
              <w:rPr>
                <w:rFonts w:ascii="Calibri" w:hAnsi="Calibri" w:cs="Calibri"/>
                <w:sz w:val="22"/>
                <w:szCs w:val="22"/>
              </w:rPr>
              <w:t>s</w:t>
            </w:r>
            <w:r w:rsidRPr="00A0541D">
              <w:rPr>
                <w:rFonts w:ascii="Calibri" w:hAnsi="Calibri" w:cs="Calibri"/>
                <w:sz w:val="22"/>
                <w:szCs w:val="22"/>
              </w:rPr>
              <w:t xml:space="preserve"> u/g students tend to come from the local area. Some further research into market</w:t>
            </w:r>
            <w:r w:rsidR="000A194B">
              <w:rPr>
                <w:rFonts w:ascii="Calibri" w:hAnsi="Calibri" w:cs="Calibri"/>
                <w:sz w:val="22"/>
                <w:szCs w:val="22"/>
              </w:rPr>
              <w:t>ing programs to a wider area is</w:t>
            </w:r>
            <w:r w:rsidRPr="00A0541D">
              <w:rPr>
                <w:rFonts w:ascii="Calibri" w:hAnsi="Calibri" w:cs="Calibri"/>
                <w:sz w:val="22"/>
                <w:szCs w:val="22"/>
              </w:rPr>
              <w:t xml:space="preserve"> recommended.</w:t>
            </w:r>
          </w:p>
          <w:p w14:paraId="43D8602C" w14:textId="77777777" w:rsidR="001615FE" w:rsidRPr="00E16374" w:rsidRDefault="001615FE" w:rsidP="00A0541D">
            <w:pPr>
              <w:rPr>
                <w:rFonts w:ascii="Calibri" w:hAnsi="Calibri" w:cs="Calibri"/>
                <w:sz w:val="22"/>
                <w:szCs w:val="22"/>
              </w:rPr>
            </w:pPr>
          </w:p>
        </w:tc>
        <w:tc>
          <w:tcPr>
            <w:tcW w:w="6830" w:type="dxa"/>
          </w:tcPr>
          <w:p w14:paraId="5EEE4BC1" w14:textId="77777777" w:rsidR="001615FE" w:rsidRDefault="001615FE" w:rsidP="00852EDB">
            <w:pPr>
              <w:rPr>
                <w:rFonts w:ascii="Calibri" w:hAnsi="Calibri" w:cs="Calibri"/>
                <w:sz w:val="22"/>
                <w:szCs w:val="22"/>
              </w:rPr>
            </w:pPr>
            <w:r>
              <w:rPr>
                <w:rFonts w:ascii="Calibri" w:hAnsi="Calibri" w:cs="Calibri"/>
                <w:sz w:val="22"/>
                <w:szCs w:val="22"/>
              </w:rPr>
              <w:lastRenderedPageBreak/>
              <w:t>Agreed</w:t>
            </w:r>
          </w:p>
          <w:p w14:paraId="76DD07CC" w14:textId="77777777" w:rsidR="001615FE" w:rsidRPr="00E16374" w:rsidRDefault="001615FE" w:rsidP="00852EDB">
            <w:pPr>
              <w:rPr>
                <w:rFonts w:ascii="Calibri" w:hAnsi="Calibri" w:cs="Calibri"/>
                <w:sz w:val="22"/>
                <w:szCs w:val="22"/>
              </w:rPr>
            </w:pPr>
            <w:r>
              <w:rPr>
                <w:rFonts w:ascii="Calibri" w:hAnsi="Calibri" w:cs="Calibri"/>
                <w:sz w:val="22"/>
                <w:szCs w:val="22"/>
              </w:rPr>
              <w:lastRenderedPageBreak/>
              <w:t>Research to be conducted by mid 2014 with ongoing marketing thereafter.</w:t>
            </w:r>
          </w:p>
        </w:tc>
        <w:tc>
          <w:tcPr>
            <w:tcW w:w="1843" w:type="dxa"/>
          </w:tcPr>
          <w:p w14:paraId="47F72A58" w14:textId="77777777" w:rsidR="001615FE" w:rsidRDefault="001615FE" w:rsidP="00852EDB">
            <w:pPr>
              <w:rPr>
                <w:rFonts w:ascii="Calibri" w:hAnsi="Calibri" w:cs="Calibri"/>
                <w:sz w:val="22"/>
                <w:szCs w:val="22"/>
              </w:rPr>
            </w:pPr>
            <w:r>
              <w:rPr>
                <w:rFonts w:ascii="Calibri" w:hAnsi="Calibri" w:cs="Calibri"/>
                <w:sz w:val="22"/>
                <w:szCs w:val="22"/>
              </w:rPr>
              <w:lastRenderedPageBreak/>
              <w:t>HOD</w:t>
            </w:r>
          </w:p>
          <w:p w14:paraId="18811167" w14:textId="702050C0" w:rsidR="000A194B" w:rsidRPr="00E16374" w:rsidRDefault="000A194B" w:rsidP="00852EDB">
            <w:pPr>
              <w:rPr>
                <w:rFonts w:ascii="Calibri" w:hAnsi="Calibri" w:cs="Calibri"/>
                <w:sz w:val="22"/>
                <w:szCs w:val="22"/>
              </w:rPr>
            </w:pPr>
            <w:r>
              <w:rPr>
                <w:rFonts w:ascii="Calibri" w:hAnsi="Calibri" w:cs="Calibri"/>
                <w:sz w:val="22"/>
                <w:szCs w:val="22"/>
              </w:rPr>
              <w:lastRenderedPageBreak/>
              <w:t>Chair Marketing committee</w:t>
            </w:r>
          </w:p>
        </w:tc>
        <w:tc>
          <w:tcPr>
            <w:tcW w:w="1450" w:type="dxa"/>
          </w:tcPr>
          <w:p w14:paraId="2A854C4C" w14:textId="77777777" w:rsidR="001615FE" w:rsidRPr="00E16374" w:rsidRDefault="001615FE" w:rsidP="00B50576">
            <w:pPr>
              <w:rPr>
                <w:rFonts w:ascii="Calibri" w:hAnsi="Calibri" w:cs="Calibri"/>
                <w:sz w:val="22"/>
                <w:szCs w:val="22"/>
              </w:rPr>
            </w:pPr>
            <w:r>
              <w:rPr>
                <w:rFonts w:ascii="Calibri" w:hAnsi="Calibri" w:cs="Calibri"/>
                <w:sz w:val="22"/>
                <w:szCs w:val="22"/>
              </w:rPr>
              <w:lastRenderedPageBreak/>
              <w:t>Mid 2014</w:t>
            </w:r>
          </w:p>
        </w:tc>
      </w:tr>
      <w:tr w:rsidR="001615FE" w14:paraId="583FF13E" w14:textId="77777777" w:rsidTr="001615FE">
        <w:tc>
          <w:tcPr>
            <w:tcW w:w="645" w:type="dxa"/>
          </w:tcPr>
          <w:p w14:paraId="0C237DED" w14:textId="77777777" w:rsidR="001615FE" w:rsidRPr="00E16374" w:rsidRDefault="001615FE" w:rsidP="00852EDB">
            <w:pPr>
              <w:rPr>
                <w:rFonts w:ascii="Calibri" w:hAnsi="Calibri" w:cs="Calibri"/>
                <w:sz w:val="22"/>
                <w:szCs w:val="22"/>
              </w:rPr>
            </w:pPr>
            <w:r>
              <w:rPr>
                <w:rFonts w:ascii="Calibri" w:hAnsi="Calibri" w:cs="Calibri"/>
                <w:sz w:val="22"/>
                <w:szCs w:val="22"/>
              </w:rPr>
              <w:lastRenderedPageBreak/>
              <w:t>22</w:t>
            </w:r>
          </w:p>
        </w:tc>
        <w:tc>
          <w:tcPr>
            <w:tcW w:w="3406" w:type="dxa"/>
          </w:tcPr>
          <w:p w14:paraId="48A2A957" w14:textId="77777777" w:rsidR="001615FE" w:rsidRPr="00A0541D" w:rsidRDefault="001615FE" w:rsidP="00A0541D">
            <w:pPr>
              <w:rPr>
                <w:rFonts w:ascii="Calibri" w:hAnsi="Calibri" w:cs="Calibri"/>
                <w:sz w:val="22"/>
                <w:szCs w:val="22"/>
              </w:rPr>
            </w:pPr>
            <w:r w:rsidRPr="00A0541D">
              <w:rPr>
                <w:rFonts w:ascii="Calibri" w:hAnsi="Calibri" w:cs="Calibri"/>
                <w:sz w:val="22"/>
                <w:szCs w:val="22"/>
              </w:rPr>
              <w:t>The panel recommends that the Department identify areas for development of social inclusion strategies in relation to student profiles: for example, the place of indigenous students in programs such as Performance studies and consideration for access.</w:t>
            </w:r>
          </w:p>
          <w:p w14:paraId="234749F2" w14:textId="77777777" w:rsidR="001615FE" w:rsidRPr="00E16374" w:rsidRDefault="001615FE" w:rsidP="00852EDB">
            <w:pPr>
              <w:rPr>
                <w:rFonts w:ascii="Calibri" w:hAnsi="Calibri" w:cs="Calibri"/>
                <w:sz w:val="22"/>
                <w:szCs w:val="22"/>
              </w:rPr>
            </w:pPr>
          </w:p>
        </w:tc>
        <w:tc>
          <w:tcPr>
            <w:tcW w:w="6830" w:type="dxa"/>
          </w:tcPr>
          <w:p w14:paraId="00EC8C81" w14:textId="22FD6778" w:rsidR="001615FE" w:rsidRDefault="0062370A" w:rsidP="00852EDB">
            <w:pPr>
              <w:rPr>
                <w:rFonts w:ascii="Calibri" w:hAnsi="Calibri" w:cs="Calibri"/>
                <w:sz w:val="22"/>
                <w:szCs w:val="22"/>
              </w:rPr>
            </w:pPr>
            <w:r>
              <w:rPr>
                <w:rFonts w:ascii="Calibri" w:hAnsi="Calibri" w:cs="Calibri"/>
                <w:sz w:val="22"/>
                <w:szCs w:val="22"/>
              </w:rPr>
              <w:t>Agreed</w:t>
            </w:r>
            <w:r w:rsidR="00512809">
              <w:rPr>
                <w:rFonts w:ascii="Calibri" w:hAnsi="Calibri" w:cs="Calibri"/>
                <w:sz w:val="22"/>
                <w:szCs w:val="22"/>
              </w:rPr>
              <w:t>. The following suggestions are being considered:</w:t>
            </w:r>
          </w:p>
          <w:p w14:paraId="0DD6DE33" w14:textId="3DF08331" w:rsidR="0062370A" w:rsidRDefault="0062370A" w:rsidP="00852EDB">
            <w:pPr>
              <w:rPr>
                <w:rFonts w:ascii="Calibri" w:hAnsi="Calibri" w:cs="Calibri"/>
                <w:sz w:val="22"/>
                <w:szCs w:val="22"/>
              </w:rPr>
            </w:pPr>
          </w:p>
          <w:p w14:paraId="0716F9E3" w14:textId="77777777" w:rsidR="000473B3" w:rsidRPr="004C0E9B" w:rsidRDefault="000473B3" w:rsidP="000473B3">
            <w:pPr>
              <w:numPr>
                <w:ilvl w:val="0"/>
                <w:numId w:val="6"/>
              </w:numPr>
              <w:contextualSpacing/>
            </w:pPr>
            <w:r w:rsidRPr="004C0E9B">
              <w:t xml:space="preserve">MMCCS to nominate someone responsible for ‘Outreach’, and for that person to liaise with existing Faculty and University structures that deal with/promote equity and diversity. </w:t>
            </w:r>
          </w:p>
          <w:p w14:paraId="177D30A7" w14:textId="77777777" w:rsidR="000473B3" w:rsidRPr="004C0E9B" w:rsidRDefault="000473B3" w:rsidP="000473B3">
            <w:pPr>
              <w:numPr>
                <w:ilvl w:val="0"/>
                <w:numId w:val="6"/>
              </w:numPr>
              <w:contextualSpacing/>
            </w:pPr>
            <w:r w:rsidRPr="004C0E9B">
              <w:t>Outreach person to approach community organisations (e.g. Refugee groups, women’s shelters, The Smith Family) to ascertain the sorts of tertiary needs/desires of potential students, and to make contact more generally</w:t>
            </w:r>
          </w:p>
          <w:p w14:paraId="38C034D2" w14:textId="62689510" w:rsidR="000473B3" w:rsidRPr="004C0E9B" w:rsidRDefault="000473B3" w:rsidP="000473B3">
            <w:pPr>
              <w:numPr>
                <w:ilvl w:val="0"/>
                <w:numId w:val="6"/>
              </w:numPr>
              <w:contextualSpacing/>
            </w:pPr>
            <w:r w:rsidRPr="004C0E9B">
              <w:t>Outreach person to liaise with/visit high schools that have a high(er) percentage of students from social</w:t>
            </w:r>
            <w:r w:rsidR="00512809">
              <w:t>ly</w:t>
            </w:r>
            <w:r w:rsidRPr="004C0E9B">
              <w:t xml:space="preserve"> disadvantage</w:t>
            </w:r>
            <w:r w:rsidR="00512809">
              <w:t>d groups</w:t>
            </w:r>
          </w:p>
          <w:p w14:paraId="40B73CAF" w14:textId="77777777" w:rsidR="000473B3" w:rsidRPr="004C0E9B" w:rsidRDefault="000473B3" w:rsidP="000473B3">
            <w:pPr>
              <w:numPr>
                <w:ilvl w:val="0"/>
                <w:numId w:val="6"/>
              </w:numPr>
              <w:contextualSpacing/>
            </w:pPr>
            <w:r w:rsidRPr="004C0E9B">
              <w:t>To promote on MMCCS website creative projects that in part tells stories of, and/or are made by, students with social disadvantage</w:t>
            </w:r>
          </w:p>
          <w:p w14:paraId="509FE662" w14:textId="77777777" w:rsidR="000473B3" w:rsidRPr="004C0E9B" w:rsidRDefault="000473B3" w:rsidP="000473B3">
            <w:pPr>
              <w:numPr>
                <w:ilvl w:val="0"/>
                <w:numId w:val="6"/>
              </w:numPr>
              <w:contextualSpacing/>
            </w:pPr>
            <w:r w:rsidRPr="004C0E9B">
              <w:t>Teaching staff to share best practice when it comes to further including the knowledge of international students in the classroom</w:t>
            </w:r>
          </w:p>
          <w:p w14:paraId="21560B28" w14:textId="0D9A0457" w:rsidR="000473B3" w:rsidRPr="004C0E9B" w:rsidRDefault="00512809" w:rsidP="000473B3">
            <w:pPr>
              <w:numPr>
                <w:ilvl w:val="0"/>
                <w:numId w:val="6"/>
              </w:numPr>
              <w:contextualSpacing/>
            </w:pPr>
            <w:r>
              <w:t>D</w:t>
            </w:r>
            <w:r w:rsidR="000473B3" w:rsidRPr="004C0E9B">
              <w:t>eveloping outreach projects that have the intention of engaging with community (</w:t>
            </w:r>
            <w:r>
              <w:t>esp in creative practice)</w:t>
            </w:r>
          </w:p>
          <w:p w14:paraId="7CF6B0EE" w14:textId="77777777" w:rsidR="000473B3" w:rsidRPr="004C0E9B" w:rsidRDefault="000473B3" w:rsidP="000473B3">
            <w:pPr>
              <w:numPr>
                <w:ilvl w:val="0"/>
                <w:numId w:val="6"/>
              </w:numPr>
              <w:contextualSpacing/>
            </w:pPr>
            <w:r w:rsidRPr="004C0E9B">
              <w:t xml:space="preserve">Have third-year interns placed in community organisations </w:t>
            </w:r>
            <w:r w:rsidRPr="004C0E9B">
              <w:lastRenderedPageBreak/>
              <w:t>that have an emphasis on social inclusion</w:t>
            </w:r>
          </w:p>
          <w:p w14:paraId="1EEE8B88" w14:textId="796570C7" w:rsidR="000473B3" w:rsidRPr="004C0E9B" w:rsidRDefault="000473B3" w:rsidP="000473B3">
            <w:pPr>
              <w:numPr>
                <w:ilvl w:val="0"/>
                <w:numId w:val="6"/>
              </w:numPr>
              <w:contextualSpacing/>
            </w:pPr>
            <w:r w:rsidRPr="004C0E9B">
              <w:t xml:space="preserve">Promote SBS </w:t>
            </w:r>
            <w:r w:rsidR="00A42627">
              <w:t>and NITV</w:t>
            </w:r>
            <w:r w:rsidR="00176922">
              <w:t xml:space="preserve"> </w:t>
            </w:r>
            <w:bookmarkStart w:id="0" w:name="_GoBack"/>
            <w:bookmarkEnd w:id="0"/>
            <w:r w:rsidRPr="004C0E9B">
              <w:t>mentorships even more</w:t>
            </w:r>
          </w:p>
          <w:p w14:paraId="406B97A1" w14:textId="77777777" w:rsidR="000473B3" w:rsidRPr="004C0E9B" w:rsidRDefault="000473B3" w:rsidP="000473B3">
            <w:pPr>
              <w:numPr>
                <w:ilvl w:val="0"/>
                <w:numId w:val="6"/>
              </w:numPr>
              <w:contextualSpacing/>
            </w:pPr>
            <w:r w:rsidRPr="004C0E9B">
              <w:t>Outreach person to liaise with university structures in finding industry partners to provide an indigenous scholarship</w:t>
            </w:r>
          </w:p>
          <w:p w14:paraId="7AA4D04E" w14:textId="77777777" w:rsidR="000473B3" w:rsidRPr="004C0E9B" w:rsidRDefault="000473B3" w:rsidP="000473B3">
            <w:pPr>
              <w:numPr>
                <w:ilvl w:val="0"/>
                <w:numId w:val="6"/>
              </w:numPr>
              <w:contextualSpacing/>
            </w:pPr>
            <w:r w:rsidRPr="004C0E9B">
              <w:t>Creative Practices staff to think about how study in creative practice can be better marketed to potential students from social disadvantage (e.g. Self-devised theatre? Writing projects?)</w:t>
            </w:r>
          </w:p>
          <w:p w14:paraId="1FD831DB" w14:textId="730D09A7" w:rsidR="000473B3" w:rsidRPr="004C0E9B" w:rsidRDefault="000473B3" w:rsidP="000473B3">
            <w:pPr>
              <w:numPr>
                <w:ilvl w:val="0"/>
                <w:numId w:val="6"/>
              </w:numPr>
              <w:contextualSpacing/>
            </w:pPr>
            <w:r w:rsidRPr="004C0E9B">
              <w:t>Liaise with MMCCS staff who already have strong contacts e.g. Tom Murray with links to Arnhem Land, and who has ideas of bringing to MQ an Indigenous elder to talk about particular forms of knowledge; Liza-Mare Syron (post-doc to start in June 2013) who has rich and varied connections with indigenous artists and administrators.</w:t>
            </w:r>
          </w:p>
          <w:p w14:paraId="43FD593A" w14:textId="77777777" w:rsidR="000473B3" w:rsidRPr="00E16374" w:rsidRDefault="000473B3" w:rsidP="000473B3">
            <w:pPr>
              <w:jc w:val="both"/>
              <w:rPr>
                <w:rFonts w:ascii="Calibri" w:hAnsi="Calibri" w:cs="Calibri"/>
                <w:sz w:val="22"/>
                <w:szCs w:val="22"/>
              </w:rPr>
            </w:pPr>
          </w:p>
        </w:tc>
        <w:tc>
          <w:tcPr>
            <w:tcW w:w="1843" w:type="dxa"/>
          </w:tcPr>
          <w:p w14:paraId="6954E886" w14:textId="77777777" w:rsidR="001615FE" w:rsidRPr="00E16374" w:rsidRDefault="0062370A" w:rsidP="00852EDB">
            <w:pPr>
              <w:rPr>
                <w:rFonts w:ascii="Calibri" w:hAnsi="Calibri" w:cs="Calibri"/>
                <w:sz w:val="22"/>
                <w:szCs w:val="22"/>
              </w:rPr>
            </w:pPr>
            <w:r>
              <w:rPr>
                <w:rFonts w:ascii="Calibri" w:hAnsi="Calibri" w:cs="Calibri"/>
                <w:sz w:val="22"/>
                <w:szCs w:val="22"/>
              </w:rPr>
              <w:lastRenderedPageBreak/>
              <w:t>HOD</w:t>
            </w:r>
          </w:p>
        </w:tc>
        <w:tc>
          <w:tcPr>
            <w:tcW w:w="1450" w:type="dxa"/>
          </w:tcPr>
          <w:p w14:paraId="79695071" w14:textId="77777777" w:rsidR="001615FE" w:rsidRPr="00E16374" w:rsidRDefault="0062370A" w:rsidP="00B50576">
            <w:pPr>
              <w:rPr>
                <w:rFonts w:ascii="Calibri" w:hAnsi="Calibri" w:cs="Calibri"/>
                <w:sz w:val="22"/>
                <w:szCs w:val="22"/>
              </w:rPr>
            </w:pPr>
            <w:r>
              <w:rPr>
                <w:rFonts w:ascii="Calibri" w:hAnsi="Calibri" w:cs="Calibri"/>
                <w:sz w:val="22"/>
                <w:szCs w:val="22"/>
              </w:rPr>
              <w:t>2014</w:t>
            </w:r>
          </w:p>
        </w:tc>
      </w:tr>
    </w:tbl>
    <w:p w14:paraId="2816AA79" w14:textId="77777777" w:rsidR="0063693E" w:rsidRDefault="0063693E" w:rsidP="0063693E">
      <w:pPr>
        <w:pStyle w:val="Heading3"/>
        <w:numPr>
          <w:ilvl w:val="0"/>
          <w:numId w:val="1"/>
        </w:numPr>
      </w:pPr>
      <w:r>
        <w:lastRenderedPageBreak/>
        <w:t>Community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419"/>
        <w:gridCol w:w="6817"/>
        <w:gridCol w:w="1843"/>
        <w:gridCol w:w="1450"/>
      </w:tblGrid>
      <w:tr w:rsidR="00F20683" w14:paraId="0C01DC1F" w14:textId="77777777" w:rsidTr="00F20683">
        <w:tc>
          <w:tcPr>
            <w:tcW w:w="645" w:type="dxa"/>
          </w:tcPr>
          <w:p w14:paraId="08969A5C" w14:textId="77777777" w:rsidR="00F20683" w:rsidRPr="00654044" w:rsidRDefault="00F20683" w:rsidP="00654044">
            <w:pPr>
              <w:jc w:val="center"/>
              <w:rPr>
                <w:rFonts w:ascii="Verdana" w:hAnsi="Verdana"/>
                <w:b/>
                <w:sz w:val="20"/>
                <w:szCs w:val="20"/>
              </w:rPr>
            </w:pPr>
            <w:r w:rsidRPr="00654044">
              <w:rPr>
                <w:rFonts w:ascii="Verdana" w:hAnsi="Verdana"/>
                <w:b/>
                <w:sz w:val="20"/>
                <w:szCs w:val="20"/>
              </w:rPr>
              <w:t>Rec No.</w:t>
            </w:r>
          </w:p>
        </w:tc>
        <w:tc>
          <w:tcPr>
            <w:tcW w:w="3419" w:type="dxa"/>
          </w:tcPr>
          <w:p w14:paraId="14AC69F5" w14:textId="77777777" w:rsidR="00F20683" w:rsidRPr="00654044" w:rsidRDefault="00F20683" w:rsidP="00654044">
            <w:pPr>
              <w:jc w:val="center"/>
              <w:rPr>
                <w:rFonts w:ascii="Verdana" w:hAnsi="Verdana"/>
                <w:b/>
                <w:sz w:val="20"/>
                <w:szCs w:val="20"/>
              </w:rPr>
            </w:pPr>
            <w:r w:rsidRPr="00654044">
              <w:rPr>
                <w:rFonts w:ascii="Verdana" w:hAnsi="Verdana"/>
                <w:b/>
                <w:sz w:val="20"/>
                <w:szCs w:val="20"/>
              </w:rPr>
              <w:t>Recommendation</w:t>
            </w:r>
          </w:p>
        </w:tc>
        <w:tc>
          <w:tcPr>
            <w:tcW w:w="6817" w:type="dxa"/>
          </w:tcPr>
          <w:p w14:paraId="356987C3" w14:textId="77777777" w:rsidR="00F20683" w:rsidRPr="00654044" w:rsidRDefault="00F20683" w:rsidP="00654044">
            <w:pPr>
              <w:jc w:val="center"/>
              <w:rPr>
                <w:rFonts w:ascii="Verdana" w:hAnsi="Verdana"/>
                <w:b/>
                <w:sz w:val="20"/>
                <w:szCs w:val="20"/>
              </w:rPr>
            </w:pPr>
            <w:r>
              <w:rPr>
                <w:rFonts w:ascii="Verdana" w:hAnsi="Verdana"/>
                <w:b/>
                <w:sz w:val="20"/>
                <w:szCs w:val="20"/>
              </w:rPr>
              <w:t>Response and status</w:t>
            </w:r>
          </w:p>
        </w:tc>
        <w:tc>
          <w:tcPr>
            <w:tcW w:w="1843" w:type="dxa"/>
          </w:tcPr>
          <w:p w14:paraId="2C8A20AD" w14:textId="77777777" w:rsidR="00F20683" w:rsidRPr="00654044" w:rsidRDefault="00F20683" w:rsidP="00654044">
            <w:pPr>
              <w:jc w:val="center"/>
              <w:rPr>
                <w:rFonts w:ascii="Verdana" w:hAnsi="Verdana"/>
                <w:b/>
                <w:sz w:val="20"/>
                <w:szCs w:val="20"/>
              </w:rPr>
            </w:pPr>
            <w:r w:rsidRPr="00654044">
              <w:rPr>
                <w:rFonts w:ascii="Verdana" w:hAnsi="Verdana"/>
                <w:b/>
                <w:sz w:val="20"/>
                <w:szCs w:val="20"/>
              </w:rPr>
              <w:t>Responsibility</w:t>
            </w:r>
          </w:p>
        </w:tc>
        <w:tc>
          <w:tcPr>
            <w:tcW w:w="1450" w:type="dxa"/>
          </w:tcPr>
          <w:p w14:paraId="4A1468B6" w14:textId="77777777" w:rsidR="00F20683" w:rsidRPr="00654044" w:rsidRDefault="00F20683" w:rsidP="00654044">
            <w:pPr>
              <w:jc w:val="center"/>
              <w:rPr>
                <w:rFonts w:ascii="Verdana" w:hAnsi="Verdana"/>
                <w:b/>
                <w:sz w:val="20"/>
                <w:szCs w:val="20"/>
              </w:rPr>
            </w:pPr>
            <w:r>
              <w:rPr>
                <w:rFonts w:ascii="Verdana" w:hAnsi="Verdana"/>
                <w:b/>
                <w:sz w:val="20"/>
                <w:szCs w:val="20"/>
              </w:rPr>
              <w:t>Timeline</w:t>
            </w:r>
          </w:p>
        </w:tc>
      </w:tr>
      <w:tr w:rsidR="00F20683" w14:paraId="5718B60F" w14:textId="77777777" w:rsidTr="00F20683">
        <w:tc>
          <w:tcPr>
            <w:tcW w:w="645" w:type="dxa"/>
          </w:tcPr>
          <w:p w14:paraId="3E66481C" w14:textId="77777777" w:rsidR="00F20683" w:rsidRPr="00E16374" w:rsidRDefault="00F20683" w:rsidP="00852EDB">
            <w:pPr>
              <w:rPr>
                <w:rFonts w:ascii="Calibri" w:hAnsi="Calibri" w:cs="Calibri"/>
                <w:sz w:val="22"/>
                <w:szCs w:val="22"/>
              </w:rPr>
            </w:pPr>
            <w:r>
              <w:rPr>
                <w:rFonts w:ascii="Calibri" w:hAnsi="Calibri" w:cs="Calibri"/>
                <w:sz w:val="22"/>
                <w:szCs w:val="22"/>
              </w:rPr>
              <w:t>23</w:t>
            </w:r>
          </w:p>
        </w:tc>
        <w:tc>
          <w:tcPr>
            <w:tcW w:w="3419" w:type="dxa"/>
          </w:tcPr>
          <w:p w14:paraId="74E93282" w14:textId="77777777" w:rsidR="00F20683" w:rsidRPr="00A0541D" w:rsidRDefault="00F20683" w:rsidP="00A0541D">
            <w:pPr>
              <w:rPr>
                <w:rFonts w:ascii="Calibri" w:hAnsi="Calibri" w:cs="Calibri"/>
                <w:sz w:val="22"/>
                <w:szCs w:val="22"/>
              </w:rPr>
            </w:pPr>
            <w:r w:rsidRPr="00A0541D">
              <w:rPr>
                <w:rFonts w:ascii="Calibri" w:hAnsi="Calibri" w:cs="Calibri"/>
                <w:sz w:val="22"/>
                <w:szCs w:val="22"/>
              </w:rPr>
              <w:t>It is recommended that staff be formally encouraged to activate personal industry networks with the oversight/coordination of the Head of Department.</w:t>
            </w:r>
          </w:p>
          <w:p w14:paraId="3143AB59" w14:textId="77777777" w:rsidR="00F20683" w:rsidRPr="00E16374" w:rsidRDefault="00F20683" w:rsidP="00852EDB">
            <w:pPr>
              <w:rPr>
                <w:rFonts w:ascii="Calibri" w:hAnsi="Calibri" w:cs="Calibri"/>
                <w:sz w:val="22"/>
                <w:szCs w:val="22"/>
              </w:rPr>
            </w:pPr>
          </w:p>
        </w:tc>
        <w:tc>
          <w:tcPr>
            <w:tcW w:w="6817" w:type="dxa"/>
          </w:tcPr>
          <w:p w14:paraId="0C115492" w14:textId="77777777" w:rsidR="00F20683" w:rsidRPr="00E16374" w:rsidRDefault="00F20683" w:rsidP="00852EDB">
            <w:pPr>
              <w:rPr>
                <w:rFonts w:ascii="Calibri" w:hAnsi="Calibri" w:cs="Calibri"/>
                <w:sz w:val="22"/>
                <w:szCs w:val="22"/>
              </w:rPr>
            </w:pPr>
            <w:r>
              <w:rPr>
                <w:rFonts w:ascii="Calibri" w:hAnsi="Calibri" w:cs="Calibri"/>
                <w:sz w:val="22"/>
                <w:szCs w:val="22"/>
              </w:rPr>
              <w:t>Agreed where appropriate</w:t>
            </w:r>
          </w:p>
        </w:tc>
        <w:tc>
          <w:tcPr>
            <w:tcW w:w="1843" w:type="dxa"/>
          </w:tcPr>
          <w:p w14:paraId="0FE61359" w14:textId="77777777" w:rsidR="00F20683" w:rsidRPr="00E16374" w:rsidRDefault="00F20683" w:rsidP="00852EDB">
            <w:pPr>
              <w:rPr>
                <w:rFonts w:ascii="Calibri" w:hAnsi="Calibri" w:cs="Calibri"/>
                <w:sz w:val="22"/>
                <w:szCs w:val="22"/>
              </w:rPr>
            </w:pPr>
            <w:r>
              <w:rPr>
                <w:rFonts w:ascii="Calibri" w:hAnsi="Calibri" w:cs="Calibri"/>
                <w:sz w:val="22"/>
                <w:szCs w:val="22"/>
              </w:rPr>
              <w:t>HOD</w:t>
            </w:r>
          </w:p>
        </w:tc>
        <w:tc>
          <w:tcPr>
            <w:tcW w:w="1450" w:type="dxa"/>
          </w:tcPr>
          <w:p w14:paraId="0880FA8D" w14:textId="74E08E77" w:rsidR="00F20683" w:rsidRPr="00E16374" w:rsidRDefault="00CE64BD" w:rsidP="00852EDB">
            <w:pPr>
              <w:rPr>
                <w:rFonts w:ascii="Calibri" w:hAnsi="Calibri" w:cs="Calibri"/>
                <w:sz w:val="22"/>
                <w:szCs w:val="22"/>
              </w:rPr>
            </w:pPr>
            <w:r>
              <w:rPr>
                <w:rFonts w:ascii="Calibri" w:hAnsi="Calibri" w:cs="Calibri"/>
                <w:sz w:val="22"/>
                <w:szCs w:val="22"/>
              </w:rPr>
              <w:t>Ongoing</w:t>
            </w:r>
          </w:p>
        </w:tc>
      </w:tr>
      <w:tr w:rsidR="00F20683" w14:paraId="1D6226BF" w14:textId="77777777" w:rsidTr="00F20683">
        <w:tc>
          <w:tcPr>
            <w:tcW w:w="645" w:type="dxa"/>
          </w:tcPr>
          <w:p w14:paraId="6A0D382F" w14:textId="77777777" w:rsidR="00F20683" w:rsidRPr="00E16374" w:rsidRDefault="00F20683" w:rsidP="00852EDB">
            <w:pPr>
              <w:rPr>
                <w:rFonts w:ascii="Calibri" w:hAnsi="Calibri" w:cs="Calibri"/>
                <w:sz w:val="22"/>
                <w:szCs w:val="22"/>
              </w:rPr>
            </w:pPr>
            <w:r>
              <w:rPr>
                <w:rFonts w:ascii="Calibri" w:hAnsi="Calibri" w:cs="Calibri"/>
                <w:sz w:val="22"/>
                <w:szCs w:val="22"/>
              </w:rPr>
              <w:t>24</w:t>
            </w:r>
          </w:p>
        </w:tc>
        <w:tc>
          <w:tcPr>
            <w:tcW w:w="3419" w:type="dxa"/>
          </w:tcPr>
          <w:p w14:paraId="18316201" w14:textId="77777777" w:rsidR="00F20683" w:rsidRPr="00A0541D" w:rsidRDefault="00F20683" w:rsidP="00A0541D">
            <w:pPr>
              <w:rPr>
                <w:rFonts w:ascii="Calibri" w:hAnsi="Calibri" w:cs="Calibri"/>
                <w:sz w:val="22"/>
                <w:szCs w:val="22"/>
              </w:rPr>
            </w:pPr>
            <w:r w:rsidRPr="00A0541D">
              <w:rPr>
                <w:rFonts w:ascii="Calibri" w:hAnsi="Calibri" w:cs="Calibri"/>
                <w:sz w:val="22"/>
                <w:szCs w:val="22"/>
              </w:rPr>
              <w:t>The panel also recommends that the department develop infrastructure led partnerships to exploit the facilities and infrastructure at its disposal.</w:t>
            </w:r>
          </w:p>
          <w:p w14:paraId="39898EAA" w14:textId="77777777" w:rsidR="00F20683" w:rsidRPr="00E16374" w:rsidRDefault="00F20683" w:rsidP="00852EDB">
            <w:pPr>
              <w:rPr>
                <w:rFonts w:ascii="Calibri" w:hAnsi="Calibri" w:cs="Calibri"/>
                <w:sz w:val="22"/>
                <w:szCs w:val="22"/>
              </w:rPr>
            </w:pPr>
          </w:p>
        </w:tc>
        <w:tc>
          <w:tcPr>
            <w:tcW w:w="6817" w:type="dxa"/>
          </w:tcPr>
          <w:p w14:paraId="6D32E27A" w14:textId="77777777" w:rsidR="00F20683" w:rsidRDefault="00F20683" w:rsidP="00852EDB">
            <w:pPr>
              <w:rPr>
                <w:rFonts w:ascii="Calibri" w:hAnsi="Calibri" w:cs="Calibri"/>
                <w:sz w:val="22"/>
                <w:szCs w:val="22"/>
              </w:rPr>
            </w:pPr>
            <w:r>
              <w:rPr>
                <w:rFonts w:ascii="Calibri" w:hAnsi="Calibri" w:cs="Calibri"/>
                <w:sz w:val="22"/>
                <w:szCs w:val="22"/>
              </w:rPr>
              <w:lastRenderedPageBreak/>
              <w:t>Agreed</w:t>
            </w:r>
          </w:p>
          <w:p w14:paraId="03499F78" w14:textId="65C667D6" w:rsidR="000473B3" w:rsidRPr="00E16374" w:rsidRDefault="000473B3" w:rsidP="00852EDB">
            <w:pPr>
              <w:rPr>
                <w:rFonts w:ascii="Calibri" w:hAnsi="Calibri" w:cs="Calibri"/>
                <w:sz w:val="22"/>
                <w:szCs w:val="22"/>
              </w:rPr>
            </w:pPr>
          </w:p>
        </w:tc>
        <w:tc>
          <w:tcPr>
            <w:tcW w:w="1843" w:type="dxa"/>
          </w:tcPr>
          <w:p w14:paraId="3A777032" w14:textId="77777777" w:rsidR="00F20683" w:rsidRPr="00E16374" w:rsidRDefault="00F20683" w:rsidP="00852EDB">
            <w:pPr>
              <w:rPr>
                <w:rFonts w:ascii="Calibri" w:hAnsi="Calibri" w:cs="Calibri"/>
                <w:sz w:val="22"/>
                <w:szCs w:val="22"/>
              </w:rPr>
            </w:pPr>
            <w:r>
              <w:rPr>
                <w:rFonts w:ascii="Calibri" w:hAnsi="Calibri" w:cs="Calibri"/>
                <w:sz w:val="22"/>
                <w:szCs w:val="22"/>
              </w:rPr>
              <w:t>HOD</w:t>
            </w:r>
          </w:p>
        </w:tc>
        <w:tc>
          <w:tcPr>
            <w:tcW w:w="1450" w:type="dxa"/>
          </w:tcPr>
          <w:p w14:paraId="13181173" w14:textId="77777777" w:rsidR="00F20683" w:rsidRPr="00E16374" w:rsidRDefault="00F20683" w:rsidP="00852EDB">
            <w:pPr>
              <w:rPr>
                <w:rFonts w:ascii="Calibri" w:hAnsi="Calibri" w:cs="Calibri"/>
                <w:sz w:val="22"/>
                <w:szCs w:val="22"/>
              </w:rPr>
            </w:pPr>
            <w:r>
              <w:rPr>
                <w:rFonts w:ascii="Calibri" w:hAnsi="Calibri" w:cs="Calibri"/>
                <w:sz w:val="22"/>
                <w:szCs w:val="22"/>
              </w:rPr>
              <w:t>Throughout 2014</w:t>
            </w:r>
          </w:p>
        </w:tc>
      </w:tr>
      <w:tr w:rsidR="00F20683" w14:paraId="1FCCDECA" w14:textId="77777777" w:rsidTr="00F20683">
        <w:tc>
          <w:tcPr>
            <w:tcW w:w="645" w:type="dxa"/>
          </w:tcPr>
          <w:p w14:paraId="5975292E" w14:textId="77777777" w:rsidR="00F20683" w:rsidRPr="00E16374" w:rsidRDefault="00F20683" w:rsidP="00852EDB">
            <w:pPr>
              <w:rPr>
                <w:rFonts w:ascii="Calibri" w:hAnsi="Calibri" w:cs="Calibri"/>
                <w:sz w:val="22"/>
                <w:szCs w:val="22"/>
              </w:rPr>
            </w:pPr>
            <w:r>
              <w:rPr>
                <w:rFonts w:ascii="Calibri" w:hAnsi="Calibri" w:cs="Calibri"/>
                <w:sz w:val="22"/>
                <w:szCs w:val="22"/>
              </w:rPr>
              <w:lastRenderedPageBreak/>
              <w:t>25</w:t>
            </w:r>
          </w:p>
        </w:tc>
        <w:tc>
          <w:tcPr>
            <w:tcW w:w="3419" w:type="dxa"/>
          </w:tcPr>
          <w:p w14:paraId="7EB9A199" w14:textId="77777777" w:rsidR="00F20683" w:rsidRPr="00A0541D" w:rsidRDefault="00F20683" w:rsidP="00A0541D">
            <w:pPr>
              <w:rPr>
                <w:rFonts w:ascii="Calibri" w:hAnsi="Calibri" w:cs="Calibri"/>
                <w:sz w:val="22"/>
                <w:szCs w:val="22"/>
              </w:rPr>
            </w:pPr>
            <w:r w:rsidRPr="00A0541D">
              <w:rPr>
                <w:rFonts w:ascii="Calibri" w:hAnsi="Calibri" w:cs="Calibri"/>
                <w:sz w:val="22"/>
                <w:szCs w:val="22"/>
              </w:rPr>
              <w:t>The panel recommends that the advisory board be established for all departmental programs as a whole rather than simply for one of them. The panel also recommends that particular attention be given to the activation of industry connections in relation to the new Journalism program.</w:t>
            </w:r>
          </w:p>
          <w:p w14:paraId="32796D42" w14:textId="77777777" w:rsidR="00F20683" w:rsidRPr="00E16374" w:rsidRDefault="00F20683" w:rsidP="00852EDB">
            <w:pPr>
              <w:rPr>
                <w:rFonts w:ascii="Calibri" w:hAnsi="Calibri" w:cs="Calibri"/>
                <w:sz w:val="22"/>
                <w:szCs w:val="22"/>
              </w:rPr>
            </w:pPr>
          </w:p>
        </w:tc>
        <w:tc>
          <w:tcPr>
            <w:tcW w:w="6817" w:type="dxa"/>
          </w:tcPr>
          <w:p w14:paraId="77614E6C" w14:textId="77777777" w:rsidR="00F20683" w:rsidRPr="00E16374" w:rsidRDefault="00F20683" w:rsidP="00852EDB">
            <w:pPr>
              <w:rPr>
                <w:rFonts w:ascii="Calibri" w:hAnsi="Calibri" w:cs="Calibri"/>
                <w:sz w:val="22"/>
                <w:szCs w:val="22"/>
              </w:rPr>
            </w:pPr>
            <w:r>
              <w:rPr>
                <w:rFonts w:ascii="Calibri" w:hAnsi="Calibri" w:cs="Calibri"/>
                <w:sz w:val="22"/>
                <w:szCs w:val="22"/>
              </w:rPr>
              <w:t>Agreed</w:t>
            </w:r>
          </w:p>
        </w:tc>
        <w:tc>
          <w:tcPr>
            <w:tcW w:w="1843" w:type="dxa"/>
          </w:tcPr>
          <w:p w14:paraId="6B0A7014" w14:textId="77777777" w:rsidR="00F20683" w:rsidRPr="00E16374" w:rsidRDefault="00F20683" w:rsidP="00852EDB">
            <w:pPr>
              <w:rPr>
                <w:rFonts w:ascii="Calibri" w:hAnsi="Calibri" w:cs="Calibri"/>
                <w:sz w:val="22"/>
                <w:szCs w:val="22"/>
              </w:rPr>
            </w:pPr>
            <w:r>
              <w:rPr>
                <w:rFonts w:ascii="Calibri" w:hAnsi="Calibri" w:cs="Calibri"/>
                <w:sz w:val="22"/>
                <w:szCs w:val="22"/>
              </w:rPr>
              <w:t>HOD</w:t>
            </w:r>
          </w:p>
        </w:tc>
        <w:tc>
          <w:tcPr>
            <w:tcW w:w="1450" w:type="dxa"/>
          </w:tcPr>
          <w:p w14:paraId="0A7AB05F" w14:textId="618FDF25" w:rsidR="00F20683" w:rsidRPr="00E16374" w:rsidRDefault="00CE64BD" w:rsidP="00852EDB">
            <w:pPr>
              <w:rPr>
                <w:rFonts w:ascii="Calibri" w:hAnsi="Calibri" w:cs="Calibri"/>
                <w:sz w:val="22"/>
                <w:szCs w:val="22"/>
              </w:rPr>
            </w:pPr>
            <w:r>
              <w:rPr>
                <w:rFonts w:ascii="Calibri" w:hAnsi="Calibri" w:cs="Calibri"/>
                <w:sz w:val="22"/>
                <w:szCs w:val="22"/>
              </w:rPr>
              <w:t>1 January 2013</w:t>
            </w:r>
          </w:p>
        </w:tc>
      </w:tr>
    </w:tbl>
    <w:p w14:paraId="118BC0A8" w14:textId="77777777" w:rsidR="005533CF" w:rsidRDefault="005533CF" w:rsidP="005533CF">
      <w:pPr>
        <w:pStyle w:val="Heading3"/>
      </w:pPr>
    </w:p>
    <w:p w14:paraId="396A9545" w14:textId="77777777" w:rsidR="00CA4D71" w:rsidRPr="00CA4D71" w:rsidRDefault="00CA4D71" w:rsidP="00CA4D71"/>
    <w:p w14:paraId="48ED404C" w14:textId="77777777" w:rsidR="0063693E" w:rsidRDefault="0063693E" w:rsidP="0063693E">
      <w:pPr>
        <w:pStyle w:val="Heading3"/>
        <w:numPr>
          <w:ilvl w:val="0"/>
          <w:numId w:val="1"/>
        </w:numPr>
      </w:pPr>
      <w:r>
        <w:t>Future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14:paraId="4707BDC6" w14:textId="77777777" w:rsidTr="00654044">
        <w:tc>
          <w:tcPr>
            <w:tcW w:w="648" w:type="dxa"/>
          </w:tcPr>
          <w:p w14:paraId="50C88158" w14:textId="77777777"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14:paraId="3716EFBA" w14:textId="77777777"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14:paraId="05F7757C" w14:textId="77777777"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14:paraId="0162D165" w14:textId="77777777"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RPr="00E16374" w14:paraId="00F25594" w14:textId="77777777" w:rsidTr="00CA4D71">
        <w:trPr>
          <w:trHeight w:val="1551"/>
        </w:trPr>
        <w:tc>
          <w:tcPr>
            <w:tcW w:w="648" w:type="dxa"/>
          </w:tcPr>
          <w:p w14:paraId="0F08239C" w14:textId="77777777" w:rsidR="0063693E" w:rsidRPr="00E16374" w:rsidRDefault="0063693E" w:rsidP="00852EDB">
            <w:pPr>
              <w:rPr>
                <w:rFonts w:ascii="Calibri" w:hAnsi="Calibri" w:cs="Calibri"/>
                <w:sz w:val="22"/>
                <w:szCs w:val="22"/>
              </w:rPr>
            </w:pPr>
          </w:p>
        </w:tc>
        <w:tc>
          <w:tcPr>
            <w:tcW w:w="3612" w:type="dxa"/>
          </w:tcPr>
          <w:p w14:paraId="55029281" w14:textId="77777777" w:rsidR="0063693E" w:rsidRDefault="0063693E" w:rsidP="00852EDB">
            <w:pPr>
              <w:rPr>
                <w:rFonts w:ascii="Calibri" w:hAnsi="Calibri" w:cs="Calibri"/>
                <w:sz w:val="22"/>
                <w:szCs w:val="22"/>
              </w:rPr>
            </w:pPr>
          </w:p>
          <w:p w14:paraId="464ACBF9" w14:textId="5EBB539A" w:rsidR="00D84CAA" w:rsidRPr="00E16374" w:rsidRDefault="00D84CAA" w:rsidP="00852EDB">
            <w:pPr>
              <w:rPr>
                <w:rFonts w:ascii="Calibri" w:hAnsi="Calibri" w:cs="Calibri"/>
                <w:sz w:val="22"/>
                <w:szCs w:val="22"/>
              </w:rPr>
            </w:pPr>
            <w:r>
              <w:rPr>
                <w:rFonts w:ascii="Calibri" w:hAnsi="Calibri" w:cs="Calibri"/>
                <w:sz w:val="22"/>
                <w:szCs w:val="22"/>
              </w:rPr>
              <w:t>No formal recommendations made.</w:t>
            </w:r>
          </w:p>
        </w:tc>
        <w:tc>
          <w:tcPr>
            <w:tcW w:w="1802" w:type="dxa"/>
          </w:tcPr>
          <w:p w14:paraId="3E7FE10E" w14:textId="77777777" w:rsidR="0063693E" w:rsidRPr="00E16374" w:rsidRDefault="0063693E" w:rsidP="00852EDB">
            <w:pPr>
              <w:rPr>
                <w:rFonts w:ascii="Calibri" w:hAnsi="Calibri" w:cs="Calibri"/>
                <w:sz w:val="22"/>
                <w:szCs w:val="22"/>
              </w:rPr>
            </w:pPr>
          </w:p>
        </w:tc>
        <w:tc>
          <w:tcPr>
            <w:tcW w:w="7654" w:type="dxa"/>
          </w:tcPr>
          <w:p w14:paraId="4AE9A882" w14:textId="77777777" w:rsidR="0063693E" w:rsidRPr="00E16374" w:rsidRDefault="0063693E" w:rsidP="00B50576">
            <w:pPr>
              <w:rPr>
                <w:rFonts w:ascii="Calibri" w:hAnsi="Calibri" w:cs="Calibri"/>
                <w:sz w:val="22"/>
                <w:szCs w:val="22"/>
              </w:rPr>
            </w:pPr>
          </w:p>
        </w:tc>
      </w:tr>
    </w:tbl>
    <w:p w14:paraId="3A340CA5" w14:textId="77777777" w:rsidR="0063693E" w:rsidRPr="00E16374" w:rsidRDefault="0063693E" w:rsidP="0063693E">
      <w:pPr>
        <w:rPr>
          <w:rFonts w:ascii="Calibri" w:hAnsi="Calibri" w:cs="Calibri"/>
        </w:rPr>
      </w:pPr>
    </w:p>
    <w:sectPr w:rsidR="0063693E" w:rsidRPr="00E16374" w:rsidSect="00BF10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BE8A2" w14:textId="77777777" w:rsidR="00512809" w:rsidRDefault="00512809">
      <w:r>
        <w:separator/>
      </w:r>
    </w:p>
  </w:endnote>
  <w:endnote w:type="continuationSeparator" w:id="0">
    <w:p w14:paraId="78C5473A" w14:textId="77777777" w:rsidR="00512809" w:rsidRDefault="0051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B6B5" w14:textId="77777777" w:rsidR="00512809" w:rsidRDefault="00512809">
      <w:r>
        <w:separator/>
      </w:r>
    </w:p>
  </w:footnote>
  <w:footnote w:type="continuationSeparator" w:id="0">
    <w:p w14:paraId="186663CD" w14:textId="77777777" w:rsidR="00512809" w:rsidRDefault="005128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7CA4"/>
    <w:multiLevelType w:val="hybridMultilevel"/>
    <w:tmpl w:val="0034461C"/>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392907E4"/>
    <w:multiLevelType w:val="hybridMultilevel"/>
    <w:tmpl w:val="B89CC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8D4215"/>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53390203"/>
    <w:multiLevelType w:val="hybridMultilevel"/>
    <w:tmpl w:val="F6E8BE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D077AAE"/>
    <w:multiLevelType w:val="hybridMultilevel"/>
    <w:tmpl w:val="0A82A2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8605B8A"/>
    <w:multiLevelType w:val="hybridMultilevel"/>
    <w:tmpl w:val="0112728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3E"/>
    <w:rsid w:val="00006F33"/>
    <w:rsid w:val="000129F0"/>
    <w:rsid w:val="000473B3"/>
    <w:rsid w:val="000537F6"/>
    <w:rsid w:val="0007229A"/>
    <w:rsid w:val="000A194B"/>
    <w:rsid w:val="000A1A9E"/>
    <w:rsid w:val="000B4215"/>
    <w:rsid w:val="000C5A33"/>
    <w:rsid w:val="000D3CAC"/>
    <w:rsid w:val="000D4843"/>
    <w:rsid w:val="000F54C3"/>
    <w:rsid w:val="00101EBC"/>
    <w:rsid w:val="00107D8F"/>
    <w:rsid w:val="00111C68"/>
    <w:rsid w:val="001209CB"/>
    <w:rsid w:val="001615FE"/>
    <w:rsid w:val="00176922"/>
    <w:rsid w:val="00196DE7"/>
    <w:rsid w:val="001B3790"/>
    <w:rsid w:val="001E1283"/>
    <w:rsid w:val="00227923"/>
    <w:rsid w:val="00233548"/>
    <w:rsid w:val="0025568E"/>
    <w:rsid w:val="00262CE6"/>
    <w:rsid w:val="00293F7B"/>
    <w:rsid w:val="002A2502"/>
    <w:rsid w:val="002A3D8F"/>
    <w:rsid w:val="002A485E"/>
    <w:rsid w:val="002A7391"/>
    <w:rsid w:val="002B66A3"/>
    <w:rsid w:val="002F6806"/>
    <w:rsid w:val="00327CAE"/>
    <w:rsid w:val="00353280"/>
    <w:rsid w:val="00354329"/>
    <w:rsid w:val="00357DFD"/>
    <w:rsid w:val="003716D0"/>
    <w:rsid w:val="00375FCA"/>
    <w:rsid w:val="00392A9E"/>
    <w:rsid w:val="003A142D"/>
    <w:rsid w:val="003B158F"/>
    <w:rsid w:val="003C28E0"/>
    <w:rsid w:val="0040598C"/>
    <w:rsid w:val="0042243D"/>
    <w:rsid w:val="004240B2"/>
    <w:rsid w:val="0046336A"/>
    <w:rsid w:val="0049675D"/>
    <w:rsid w:val="004A5189"/>
    <w:rsid w:val="004B291C"/>
    <w:rsid w:val="004D742C"/>
    <w:rsid w:val="004E0674"/>
    <w:rsid w:val="00512809"/>
    <w:rsid w:val="0052454D"/>
    <w:rsid w:val="00534CE7"/>
    <w:rsid w:val="00542E82"/>
    <w:rsid w:val="005533CF"/>
    <w:rsid w:val="00570BC2"/>
    <w:rsid w:val="005761F3"/>
    <w:rsid w:val="005A534E"/>
    <w:rsid w:val="005A6933"/>
    <w:rsid w:val="005B7879"/>
    <w:rsid w:val="005E666F"/>
    <w:rsid w:val="0062370A"/>
    <w:rsid w:val="0063693E"/>
    <w:rsid w:val="00654044"/>
    <w:rsid w:val="006577C8"/>
    <w:rsid w:val="0066340B"/>
    <w:rsid w:val="006662BD"/>
    <w:rsid w:val="00681BC4"/>
    <w:rsid w:val="00694DF0"/>
    <w:rsid w:val="006D4BF4"/>
    <w:rsid w:val="006E7549"/>
    <w:rsid w:val="006F466A"/>
    <w:rsid w:val="00720941"/>
    <w:rsid w:val="00721390"/>
    <w:rsid w:val="00723CC5"/>
    <w:rsid w:val="00737E5B"/>
    <w:rsid w:val="0076392B"/>
    <w:rsid w:val="007879BA"/>
    <w:rsid w:val="0079415A"/>
    <w:rsid w:val="007951F8"/>
    <w:rsid w:val="007D549D"/>
    <w:rsid w:val="007E15CD"/>
    <w:rsid w:val="007F7101"/>
    <w:rsid w:val="00801950"/>
    <w:rsid w:val="00807C78"/>
    <w:rsid w:val="00810772"/>
    <w:rsid w:val="0081670B"/>
    <w:rsid w:val="008354A7"/>
    <w:rsid w:val="00852EDB"/>
    <w:rsid w:val="008768A6"/>
    <w:rsid w:val="008C5370"/>
    <w:rsid w:val="00941582"/>
    <w:rsid w:val="00960310"/>
    <w:rsid w:val="0096702D"/>
    <w:rsid w:val="00975A00"/>
    <w:rsid w:val="0098248C"/>
    <w:rsid w:val="00983D42"/>
    <w:rsid w:val="009876C2"/>
    <w:rsid w:val="009928D8"/>
    <w:rsid w:val="009A1B75"/>
    <w:rsid w:val="009E3B39"/>
    <w:rsid w:val="009F423F"/>
    <w:rsid w:val="00A0541D"/>
    <w:rsid w:val="00A23CC5"/>
    <w:rsid w:val="00A42627"/>
    <w:rsid w:val="00A6157C"/>
    <w:rsid w:val="00AB1CE5"/>
    <w:rsid w:val="00AC2224"/>
    <w:rsid w:val="00AF3841"/>
    <w:rsid w:val="00B13652"/>
    <w:rsid w:val="00B50576"/>
    <w:rsid w:val="00B651CB"/>
    <w:rsid w:val="00B968EB"/>
    <w:rsid w:val="00BB0EF9"/>
    <w:rsid w:val="00BB4094"/>
    <w:rsid w:val="00BD60DF"/>
    <w:rsid w:val="00BF1010"/>
    <w:rsid w:val="00BF18CD"/>
    <w:rsid w:val="00BF2C7C"/>
    <w:rsid w:val="00C0474B"/>
    <w:rsid w:val="00C55482"/>
    <w:rsid w:val="00C60A91"/>
    <w:rsid w:val="00CA4D71"/>
    <w:rsid w:val="00CB2A4E"/>
    <w:rsid w:val="00CE64BD"/>
    <w:rsid w:val="00D04631"/>
    <w:rsid w:val="00D13D32"/>
    <w:rsid w:val="00D302F5"/>
    <w:rsid w:val="00D501AB"/>
    <w:rsid w:val="00D84CAA"/>
    <w:rsid w:val="00DA6933"/>
    <w:rsid w:val="00DC1088"/>
    <w:rsid w:val="00DF5605"/>
    <w:rsid w:val="00E16374"/>
    <w:rsid w:val="00E43100"/>
    <w:rsid w:val="00E473A7"/>
    <w:rsid w:val="00E5498C"/>
    <w:rsid w:val="00E554B0"/>
    <w:rsid w:val="00E630B6"/>
    <w:rsid w:val="00E675EF"/>
    <w:rsid w:val="00E82617"/>
    <w:rsid w:val="00E8511D"/>
    <w:rsid w:val="00E946AD"/>
    <w:rsid w:val="00E97F8E"/>
    <w:rsid w:val="00EB04EB"/>
    <w:rsid w:val="00EE4507"/>
    <w:rsid w:val="00EF5892"/>
    <w:rsid w:val="00F01DC6"/>
    <w:rsid w:val="00F204ED"/>
    <w:rsid w:val="00F20683"/>
    <w:rsid w:val="00F50AC5"/>
    <w:rsid w:val="00F61A31"/>
    <w:rsid w:val="00F72540"/>
    <w:rsid w:val="00FB3CFC"/>
    <w:rsid w:val="00FC0FC6"/>
    <w:rsid w:val="00FD048D"/>
    <w:rsid w:val="00FD6BBA"/>
    <w:rsid w:val="00FE0D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1D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character" w:styleId="CommentReference">
    <w:name w:val="annotation reference"/>
    <w:semiHidden/>
    <w:rsid w:val="00F01DC6"/>
    <w:rPr>
      <w:sz w:val="16"/>
      <w:szCs w:val="16"/>
    </w:rPr>
  </w:style>
  <w:style w:type="paragraph" w:styleId="CommentText">
    <w:name w:val="annotation text"/>
    <w:basedOn w:val="Normal"/>
    <w:semiHidden/>
    <w:rsid w:val="00F01DC6"/>
    <w:rPr>
      <w:sz w:val="20"/>
      <w:szCs w:val="20"/>
    </w:rPr>
  </w:style>
  <w:style w:type="paragraph" w:styleId="CommentSubject">
    <w:name w:val="annotation subject"/>
    <w:basedOn w:val="CommentText"/>
    <w:next w:val="CommentText"/>
    <w:semiHidden/>
    <w:rsid w:val="00F01DC6"/>
    <w:rPr>
      <w:b/>
      <w:bCs/>
    </w:rPr>
  </w:style>
  <w:style w:type="paragraph" w:styleId="BalloonText">
    <w:name w:val="Balloon Text"/>
    <w:basedOn w:val="Normal"/>
    <w:semiHidden/>
    <w:rsid w:val="00F01DC6"/>
    <w:rPr>
      <w:rFonts w:ascii="Tahoma" w:hAnsi="Tahoma" w:cs="Tahoma"/>
      <w:sz w:val="16"/>
      <w:szCs w:val="16"/>
    </w:rPr>
  </w:style>
  <w:style w:type="paragraph" w:styleId="ListParagraph">
    <w:name w:val="List Paragraph"/>
    <w:basedOn w:val="Normal"/>
    <w:uiPriority w:val="34"/>
    <w:qFormat/>
    <w:rsid w:val="000473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character" w:styleId="CommentReference">
    <w:name w:val="annotation reference"/>
    <w:semiHidden/>
    <w:rsid w:val="00F01DC6"/>
    <w:rPr>
      <w:sz w:val="16"/>
      <w:szCs w:val="16"/>
    </w:rPr>
  </w:style>
  <w:style w:type="paragraph" w:styleId="CommentText">
    <w:name w:val="annotation text"/>
    <w:basedOn w:val="Normal"/>
    <w:semiHidden/>
    <w:rsid w:val="00F01DC6"/>
    <w:rPr>
      <w:sz w:val="20"/>
      <w:szCs w:val="20"/>
    </w:rPr>
  </w:style>
  <w:style w:type="paragraph" w:styleId="CommentSubject">
    <w:name w:val="annotation subject"/>
    <w:basedOn w:val="CommentText"/>
    <w:next w:val="CommentText"/>
    <w:semiHidden/>
    <w:rsid w:val="00F01DC6"/>
    <w:rPr>
      <w:b/>
      <w:bCs/>
    </w:rPr>
  </w:style>
  <w:style w:type="paragraph" w:styleId="BalloonText">
    <w:name w:val="Balloon Text"/>
    <w:basedOn w:val="Normal"/>
    <w:semiHidden/>
    <w:rsid w:val="00F01DC6"/>
    <w:rPr>
      <w:rFonts w:ascii="Tahoma" w:hAnsi="Tahoma" w:cs="Tahoma"/>
      <w:sz w:val="16"/>
      <w:szCs w:val="16"/>
    </w:rPr>
  </w:style>
  <w:style w:type="paragraph" w:styleId="ListParagraph">
    <w:name w:val="List Paragraph"/>
    <w:basedOn w:val="Normal"/>
    <w:uiPriority w:val="34"/>
    <w:qFormat/>
    <w:rsid w:val="0004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2806">
      <w:bodyDiv w:val="1"/>
      <w:marLeft w:val="0"/>
      <w:marRight w:val="0"/>
      <w:marTop w:val="0"/>
      <w:marBottom w:val="0"/>
      <w:divBdr>
        <w:top w:val="none" w:sz="0" w:space="0" w:color="auto"/>
        <w:left w:val="none" w:sz="0" w:space="0" w:color="auto"/>
        <w:bottom w:val="none" w:sz="0" w:space="0" w:color="auto"/>
        <w:right w:val="none" w:sz="0" w:space="0" w:color="auto"/>
      </w:divBdr>
    </w:div>
    <w:div w:id="77675236">
      <w:bodyDiv w:val="1"/>
      <w:marLeft w:val="0"/>
      <w:marRight w:val="0"/>
      <w:marTop w:val="0"/>
      <w:marBottom w:val="0"/>
      <w:divBdr>
        <w:top w:val="none" w:sz="0" w:space="0" w:color="auto"/>
        <w:left w:val="none" w:sz="0" w:space="0" w:color="auto"/>
        <w:bottom w:val="none" w:sz="0" w:space="0" w:color="auto"/>
        <w:right w:val="none" w:sz="0" w:space="0" w:color="auto"/>
      </w:divBdr>
    </w:div>
    <w:div w:id="79260238">
      <w:bodyDiv w:val="1"/>
      <w:marLeft w:val="0"/>
      <w:marRight w:val="0"/>
      <w:marTop w:val="0"/>
      <w:marBottom w:val="0"/>
      <w:divBdr>
        <w:top w:val="none" w:sz="0" w:space="0" w:color="auto"/>
        <w:left w:val="none" w:sz="0" w:space="0" w:color="auto"/>
        <w:bottom w:val="none" w:sz="0" w:space="0" w:color="auto"/>
        <w:right w:val="none" w:sz="0" w:space="0" w:color="auto"/>
      </w:divBdr>
    </w:div>
    <w:div w:id="147745057">
      <w:bodyDiv w:val="1"/>
      <w:marLeft w:val="0"/>
      <w:marRight w:val="0"/>
      <w:marTop w:val="0"/>
      <w:marBottom w:val="0"/>
      <w:divBdr>
        <w:top w:val="none" w:sz="0" w:space="0" w:color="auto"/>
        <w:left w:val="none" w:sz="0" w:space="0" w:color="auto"/>
        <w:bottom w:val="none" w:sz="0" w:space="0" w:color="auto"/>
        <w:right w:val="none" w:sz="0" w:space="0" w:color="auto"/>
      </w:divBdr>
    </w:div>
    <w:div w:id="402728501">
      <w:bodyDiv w:val="1"/>
      <w:marLeft w:val="0"/>
      <w:marRight w:val="0"/>
      <w:marTop w:val="0"/>
      <w:marBottom w:val="0"/>
      <w:divBdr>
        <w:top w:val="none" w:sz="0" w:space="0" w:color="auto"/>
        <w:left w:val="none" w:sz="0" w:space="0" w:color="auto"/>
        <w:bottom w:val="none" w:sz="0" w:space="0" w:color="auto"/>
        <w:right w:val="none" w:sz="0" w:space="0" w:color="auto"/>
      </w:divBdr>
    </w:div>
    <w:div w:id="589778854">
      <w:bodyDiv w:val="1"/>
      <w:marLeft w:val="0"/>
      <w:marRight w:val="0"/>
      <w:marTop w:val="0"/>
      <w:marBottom w:val="0"/>
      <w:divBdr>
        <w:top w:val="none" w:sz="0" w:space="0" w:color="auto"/>
        <w:left w:val="none" w:sz="0" w:space="0" w:color="auto"/>
        <w:bottom w:val="none" w:sz="0" w:space="0" w:color="auto"/>
        <w:right w:val="none" w:sz="0" w:space="0" w:color="auto"/>
      </w:divBdr>
    </w:div>
    <w:div w:id="644744719">
      <w:bodyDiv w:val="1"/>
      <w:marLeft w:val="0"/>
      <w:marRight w:val="0"/>
      <w:marTop w:val="0"/>
      <w:marBottom w:val="0"/>
      <w:divBdr>
        <w:top w:val="none" w:sz="0" w:space="0" w:color="auto"/>
        <w:left w:val="none" w:sz="0" w:space="0" w:color="auto"/>
        <w:bottom w:val="none" w:sz="0" w:space="0" w:color="auto"/>
        <w:right w:val="none" w:sz="0" w:space="0" w:color="auto"/>
      </w:divBdr>
    </w:div>
    <w:div w:id="654333963">
      <w:bodyDiv w:val="1"/>
      <w:marLeft w:val="0"/>
      <w:marRight w:val="0"/>
      <w:marTop w:val="0"/>
      <w:marBottom w:val="0"/>
      <w:divBdr>
        <w:top w:val="none" w:sz="0" w:space="0" w:color="auto"/>
        <w:left w:val="none" w:sz="0" w:space="0" w:color="auto"/>
        <w:bottom w:val="none" w:sz="0" w:space="0" w:color="auto"/>
        <w:right w:val="none" w:sz="0" w:space="0" w:color="auto"/>
      </w:divBdr>
    </w:div>
    <w:div w:id="838811415">
      <w:bodyDiv w:val="1"/>
      <w:marLeft w:val="0"/>
      <w:marRight w:val="0"/>
      <w:marTop w:val="0"/>
      <w:marBottom w:val="0"/>
      <w:divBdr>
        <w:top w:val="none" w:sz="0" w:space="0" w:color="auto"/>
        <w:left w:val="none" w:sz="0" w:space="0" w:color="auto"/>
        <w:bottom w:val="none" w:sz="0" w:space="0" w:color="auto"/>
        <w:right w:val="none" w:sz="0" w:space="0" w:color="auto"/>
      </w:divBdr>
    </w:div>
    <w:div w:id="936904622">
      <w:bodyDiv w:val="1"/>
      <w:marLeft w:val="0"/>
      <w:marRight w:val="0"/>
      <w:marTop w:val="0"/>
      <w:marBottom w:val="0"/>
      <w:divBdr>
        <w:top w:val="none" w:sz="0" w:space="0" w:color="auto"/>
        <w:left w:val="none" w:sz="0" w:space="0" w:color="auto"/>
        <w:bottom w:val="none" w:sz="0" w:space="0" w:color="auto"/>
        <w:right w:val="none" w:sz="0" w:space="0" w:color="auto"/>
      </w:divBdr>
    </w:div>
    <w:div w:id="1004474676">
      <w:bodyDiv w:val="1"/>
      <w:marLeft w:val="0"/>
      <w:marRight w:val="0"/>
      <w:marTop w:val="0"/>
      <w:marBottom w:val="0"/>
      <w:divBdr>
        <w:top w:val="none" w:sz="0" w:space="0" w:color="auto"/>
        <w:left w:val="none" w:sz="0" w:space="0" w:color="auto"/>
        <w:bottom w:val="none" w:sz="0" w:space="0" w:color="auto"/>
        <w:right w:val="none" w:sz="0" w:space="0" w:color="auto"/>
      </w:divBdr>
    </w:div>
    <w:div w:id="1010377717">
      <w:bodyDiv w:val="1"/>
      <w:marLeft w:val="0"/>
      <w:marRight w:val="0"/>
      <w:marTop w:val="0"/>
      <w:marBottom w:val="0"/>
      <w:divBdr>
        <w:top w:val="none" w:sz="0" w:space="0" w:color="auto"/>
        <w:left w:val="none" w:sz="0" w:space="0" w:color="auto"/>
        <w:bottom w:val="none" w:sz="0" w:space="0" w:color="auto"/>
        <w:right w:val="none" w:sz="0" w:space="0" w:color="auto"/>
      </w:divBdr>
    </w:div>
    <w:div w:id="1012492937">
      <w:bodyDiv w:val="1"/>
      <w:marLeft w:val="0"/>
      <w:marRight w:val="0"/>
      <w:marTop w:val="0"/>
      <w:marBottom w:val="0"/>
      <w:divBdr>
        <w:top w:val="none" w:sz="0" w:space="0" w:color="auto"/>
        <w:left w:val="none" w:sz="0" w:space="0" w:color="auto"/>
        <w:bottom w:val="none" w:sz="0" w:space="0" w:color="auto"/>
        <w:right w:val="none" w:sz="0" w:space="0" w:color="auto"/>
      </w:divBdr>
    </w:div>
    <w:div w:id="1382631739">
      <w:bodyDiv w:val="1"/>
      <w:marLeft w:val="0"/>
      <w:marRight w:val="0"/>
      <w:marTop w:val="0"/>
      <w:marBottom w:val="0"/>
      <w:divBdr>
        <w:top w:val="none" w:sz="0" w:space="0" w:color="auto"/>
        <w:left w:val="none" w:sz="0" w:space="0" w:color="auto"/>
        <w:bottom w:val="none" w:sz="0" w:space="0" w:color="auto"/>
        <w:right w:val="none" w:sz="0" w:space="0" w:color="auto"/>
      </w:divBdr>
    </w:div>
    <w:div w:id="1384210059">
      <w:bodyDiv w:val="1"/>
      <w:marLeft w:val="0"/>
      <w:marRight w:val="0"/>
      <w:marTop w:val="0"/>
      <w:marBottom w:val="0"/>
      <w:divBdr>
        <w:top w:val="none" w:sz="0" w:space="0" w:color="auto"/>
        <w:left w:val="none" w:sz="0" w:space="0" w:color="auto"/>
        <w:bottom w:val="none" w:sz="0" w:space="0" w:color="auto"/>
        <w:right w:val="none" w:sz="0" w:space="0" w:color="auto"/>
      </w:divBdr>
    </w:div>
    <w:div w:id="1440106426">
      <w:bodyDiv w:val="1"/>
      <w:marLeft w:val="0"/>
      <w:marRight w:val="0"/>
      <w:marTop w:val="0"/>
      <w:marBottom w:val="0"/>
      <w:divBdr>
        <w:top w:val="none" w:sz="0" w:space="0" w:color="auto"/>
        <w:left w:val="none" w:sz="0" w:space="0" w:color="auto"/>
        <w:bottom w:val="none" w:sz="0" w:space="0" w:color="auto"/>
        <w:right w:val="none" w:sz="0" w:space="0" w:color="auto"/>
      </w:divBdr>
    </w:div>
    <w:div w:id="1520121361">
      <w:bodyDiv w:val="1"/>
      <w:marLeft w:val="0"/>
      <w:marRight w:val="0"/>
      <w:marTop w:val="0"/>
      <w:marBottom w:val="0"/>
      <w:divBdr>
        <w:top w:val="none" w:sz="0" w:space="0" w:color="auto"/>
        <w:left w:val="none" w:sz="0" w:space="0" w:color="auto"/>
        <w:bottom w:val="none" w:sz="0" w:space="0" w:color="auto"/>
        <w:right w:val="none" w:sz="0" w:space="0" w:color="auto"/>
      </w:divBdr>
    </w:div>
    <w:div w:id="1542598570">
      <w:bodyDiv w:val="1"/>
      <w:marLeft w:val="0"/>
      <w:marRight w:val="0"/>
      <w:marTop w:val="0"/>
      <w:marBottom w:val="0"/>
      <w:divBdr>
        <w:top w:val="none" w:sz="0" w:space="0" w:color="auto"/>
        <w:left w:val="none" w:sz="0" w:space="0" w:color="auto"/>
        <w:bottom w:val="none" w:sz="0" w:space="0" w:color="auto"/>
        <w:right w:val="none" w:sz="0" w:space="0" w:color="auto"/>
      </w:divBdr>
    </w:div>
    <w:div w:id="1603605225">
      <w:bodyDiv w:val="1"/>
      <w:marLeft w:val="0"/>
      <w:marRight w:val="0"/>
      <w:marTop w:val="0"/>
      <w:marBottom w:val="0"/>
      <w:divBdr>
        <w:top w:val="none" w:sz="0" w:space="0" w:color="auto"/>
        <w:left w:val="none" w:sz="0" w:space="0" w:color="auto"/>
        <w:bottom w:val="none" w:sz="0" w:space="0" w:color="auto"/>
        <w:right w:val="none" w:sz="0" w:space="0" w:color="auto"/>
      </w:divBdr>
    </w:div>
    <w:div w:id="1644893295">
      <w:bodyDiv w:val="1"/>
      <w:marLeft w:val="0"/>
      <w:marRight w:val="0"/>
      <w:marTop w:val="0"/>
      <w:marBottom w:val="0"/>
      <w:divBdr>
        <w:top w:val="none" w:sz="0" w:space="0" w:color="auto"/>
        <w:left w:val="none" w:sz="0" w:space="0" w:color="auto"/>
        <w:bottom w:val="none" w:sz="0" w:space="0" w:color="auto"/>
        <w:right w:val="none" w:sz="0" w:space="0" w:color="auto"/>
      </w:divBdr>
    </w:div>
    <w:div w:id="1714571011">
      <w:bodyDiv w:val="1"/>
      <w:marLeft w:val="0"/>
      <w:marRight w:val="0"/>
      <w:marTop w:val="0"/>
      <w:marBottom w:val="0"/>
      <w:divBdr>
        <w:top w:val="none" w:sz="0" w:space="0" w:color="auto"/>
        <w:left w:val="none" w:sz="0" w:space="0" w:color="auto"/>
        <w:bottom w:val="none" w:sz="0" w:space="0" w:color="auto"/>
        <w:right w:val="none" w:sz="0" w:space="0" w:color="auto"/>
      </w:divBdr>
    </w:div>
    <w:div w:id="1772968878">
      <w:bodyDiv w:val="1"/>
      <w:marLeft w:val="0"/>
      <w:marRight w:val="0"/>
      <w:marTop w:val="0"/>
      <w:marBottom w:val="0"/>
      <w:divBdr>
        <w:top w:val="none" w:sz="0" w:space="0" w:color="auto"/>
        <w:left w:val="none" w:sz="0" w:space="0" w:color="auto"/>
        <w:bottom w:val="none" w:sz="0" w:space="0" w:color="auto"/>
        <w:right w:val="none" w:sz="0" w:space="0" w:color="auto"/>
      </w:divBdr>
    </w:div>
    <w:div w:id="1808010859">
      <w:bodyDiv w:val="1"/>
      <w:marLeft w:val="0"/>
      <w:marRight w:val="0"/>
      <w:marTop w:val="0"/>
      <w:marBottom w:val="0"/>
      <w:divBdr>
        <w:top w:val="none" w:sz="0" w:space="0" w:color="auto"/>
        <w:left w:val="none" w:sz="0" w:space="0" w:color="auto"/>
        <w:bottom w:val="none" w:sz="0" w:space="0" w:color="auto"/>
        <w:right w:val="none" w:sz="0" w:space="0" w:color="auto"/>
      </w:divBdr>
    </w:div>
    <w:div w:id="1830829884">
      <w:bodyDiv w:val="1"/>
      <w:marLeft w:val="0"/>
      <w:marRight w:val="0"/>
      <w:marTop w:val="0"/>
      <w:marBottom w:val="0"/>
      <w:divBdr>
        <w:top w:val="none" w:sz="0" w:space="0" w:color="auto"/>
        <w:left w:val="none" w:sz="0" w:space="0" w:color="auto"/>
        <w:bottom w:val="none" w:sz="0" w:space="0" w:color="auto"/>
        <w:right w:val="none" w:sz="0" w:space="0" w:color="auto"/>
      </w:divBdr>
    </w:div>
    <w:div w:id="20716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1743</Words>
  <Characters>9940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BMclean</dc:creator>
  <cp:lastModifiedBy>Mark Evans</cp:lastModifiedBy>
  <cp:revision>27</cp:revision>
  <dcterms:created xsi:type="dcterms:W3CDTF">2013-05-16T01:38:00Z</dcterms:created>
  <dcterms:modified xsi:type="dcterms:W3CDTF">2013-08-08T04:51:00Z</dcterms:modified>
</cp:coreProperties>
</file>