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E" w:rsidRDefault="00DF381E" w:rsidP="00DF381E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  <w:szCs w:val="21"/>
        </w:rPr>
      </w:pPr>
      <w:bookmarkStart w:id="0" w:name="_GoBack"/>
      <w:bookmarkEnd w:id="0"/>
      <w:r>
        <w:rPr>
          <w:rFonts w:cs="Helvetica-Bold"/>
          <w:b/>
          <w:bCs/>
          <w:sz w:val="36"/>
          <w:szCs w:val="21"/>
        </w:rPr>
        <w:t>Department of Psychology Review</w:t>
      </w:r>
    </w:p>
    <w:p w:rsidR="00DF381E" w:rsidRDefault="00DF381E" w:rsidP="00DF381E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  <w:szCs w:val="21"/>
        </w:rPr>
      </w:pPr>
      <w:r>
        <w:rPr>
          <w:rFonts w:cs="Helvetica-Bold"/>
          <w:b/>
          <w:bCs/>
          <w:sz w:val="36"/>
          <w:szCs w:val="21"/>
        </w:rPr>
        <w:t>Response to recommendations</w:t>
      </w:r>
    </w:p>
    <w:p w:rsidR="00DF381E" w:rsidRDefault="00DF381E" w:rsidP="00DF381E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  <w:szCs w:val="21"/>
        </w:rPr>
      </w:pPr>
      <w:r w:rsidRPr="00DF381E">
        <w:rPr>
          <w:rFonts w:cs="Helvetica-Bold"/>
          <w:b/>
          <w:bCs/>
          <w:sz w:val="36"/>
          <w:szCs w:val="21"/>
        </w:rPr>
        <w:t>Implementation Plan</w:t>
      </w:r>
    </w:p>
    <w:p w:rsidR="00C61F19" w:rsidRPr="00DF381E" w:rsidRDefault="00DF381E" w:rsidP="00DF381E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  <w:szCs w:val="21"/>
        </w:rPr>
      </w:pPr>
      <w:r>
        <w:rPr>
          <w:rFonts w:cs="Helvetica-Bold"/>
          <w:b/>
          <w:bCs/>
          <w:sz w:val="36"/>
          <w:szCs w:val="21"/>
        </w:rPr>
        <w:t>June 1, 2011</w:t>
      </w:r>
    </w:p>
    <w:p w:rsidR="00394447" w:rsidRDefault="00394447" w:rsidP="00DF381E">
      <w:pPr>
        <w:pStyle w:val="Heading3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612"/>
        <w:gridCol w:w="1861"/>
        <w:gridCol w:w="3260"/>
      </w:tblGrid>
      <w:tr w:rsidR="00394447">
        <w:tc>
          <w:tcPr>
            <w:tcW w:w="623" w:type="dxa"/>
          </w:tcPr>
          <w:p w:rsidR="00394447" w:rsidRPr="00A06717" w:rsidRDefault="00394447" w:rsidP="00EF5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717">
              <w:rPr>
                <w:rFonts w:ascii="Verdana" w:hAnsi="Verdana"/>
                <w:b/>
                <w:sz w:val="20"/>
                <w:szCs w:val="20"/>
              </w:rPr>
              <w:t>Rec No.</w:t>
            </w:r>
          </w:p>
        </w:tc>
        <w:tc>
          <w:tcPr>
            <w:tcW w:w="3612" w:type="dxa"/>
          </w:tcPr>
          <w:p w:rsidR="00394447" w:rsidRPr="00A06717" w:rsidRDefault="00394447" w:rsidP="00EF5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717">
              <w:rPr>
                <w:rFonts w:ascii="Verdana" w:hAnsi="Verdana"/>
                <w:b/>
                <w:sz w:val="20"/>
                <w:szCs w:val="20"/>
              </w:rPr>
              <w:t>Recommendation</w:t>
            </w:r>
          </w:p>
        </w:tc>
        <w:tc>
          <w:tcPr>
            <w:tcW w:w="1861" w:type="dxa"/>
          </w:tcPr>
          <w:p w:rsidR="00394447" w:rsidRPr="00A06717" w:rsidRDefault="00394447" w:rsidP="00EF5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717">
              <w:rPr>
                <w:rFonts w:ascii="Verdana" w:hAnsi="Verdana"/>
                <w:b/>
                <w:sz w:val="20"/>
                <w:szCs w:val="20"/>
              </w:rPr>
              <w:t>Responsibility</w:t>
            </w:r>
          </w:p>
        </w:tc>
        <w:tc>
          <w:tcPr>
            <w:tcW w:w="3260" w:type="dxa"/>
          </w:tcPr>
          <w:p w:rsidR="00394447" w:rsidRPr="00A06717" w:rsidRDefault="00394447" w:rsidP="00EF5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717">
              <w:rPr>
                <w:rFonts w:ascii="Verdana" w:hAnsi="Verdana"/>
                <w:b/>
                <w:sz w:val="20"/>
                <w:szCs w:val="20"/>
              </w:rPr>
              <w:t>Response and Status</w:t>
            </w:r>
          </w:p>
        </w:tc>
      </w:tr>
      <w:tr w:rsidR="00394447">
        <w:tc>
          <w:tcPr>
            <w:tcW w:w="623" w:type="dxa"/>
            <w:shd w:val="clear" w:color="auto" w:fill="BFBFBF" w:themeFill="background1" w:themeFillShade="BF"/>
          </w:tcPr>
          <w:p w:rsidR="00394447" w:rsidRPr="00A06717" w:rsidRDefault="001D1B08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:rsidR="002B268E" w:rsidRDefault="002B268E" w:rsidP="00EF5914">
            <w:r w:rsidRPr="002B268E">
              <w:rPr>
                <w:b/>
              </w:rPr>
              <w:t>Undergraduate programs</w:t>
            </w:r>
            <w:r>
              <w:t>:</w:t>
            </w:r>
          </w:p>
          <w:p w:rsidR="00394447" w:rsidRPr="002B268E" w:rsidRDefault="00394447" w:rsidP="00EF5914">
            <w:pPr>
              <w:rPr>
                <w:i/>
              </w:rPr>
            </w:pPr>
            <w:r w:rsidRPr="002B268E">
              <w:rPr>
                <w:i/>
              </w:rPr>
              <w:t>That the Department examine its undergraduate offerings within the constraints of APAC requirements with a view to:</w:t>
            </w:r>
          </w:p>
          <w:p w:rsidR="00394447" w:rsidRPr="00A06717" w:rsidRDefault="00394447" w:rsidP="00EF5914">
            <w:pPr>
              <w:rPr>
                <w:sz w:val="22"/>
              </w:rPr>
            </w:pPr>
          </w:p>
        </w:tc>
        <w:tc>
          <w:tcPr>
            <w:tcW w:w="1861" w:type="dxa"/>
            <w:shd w:val="clear" w:color="auto" w:fill="BFBFBF" w:themeFill="background1" w:themeFillShade="BF"/>
          </w:tcPr>
          <w:p w:rsidR="00394447" w:rsidRPr="00A06717" w:rsidRDefault="00394447" w:rsidP="00EF5914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94447" w:rsidRPr="00A06717" w:rsidRDefault="00394447" w:rsidP="00EF5914">
            <w:pPr>
              <w:rPr>
                <w:sz w:val="22"/>
              </w:rPr>
            </w:pPr>
          </w:p>
        </w:tc>
      </w:tr>
      <w:tr w:rsidR="009E28BA">
        <w:tc>
          <w:tcPr>
            <w:tcW w:w="623" w:type="dxa"/>
          </w:tcPr>
          <w:p w:rsidR="009E28BA" w:rsidRPr="00A06717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12" w:type="dxa"/>
          </w:tcPr>
          <w:p w:rsidR="009E28BA" w:rsidRPr="009B08DB" w:rsidRDefault="009E28BA" w:rsidP="00394447">
            <w:pPr>
              <w:pStyle w:val="ListParagraph"/>
              <w:ind w:left="0"/>
              <w:rPr>
                <w:lang w:val="en-AU"/>
              </w:rPr>
            </w:pPr>
            <w:r w:rsidRPr="009B08DB">
              <w:rPr>
                <w:lang w:val="en-AU"/>
              </w:rPr>
              <w:t>Reducing the number of hours taught in some units</w:t>
            </w:r>
            <w:r>
              <w:rPr>
                <w:lang w:val="en-AU"/>
              </w:rPr>
              <w:t xml:space="preserve"> including transition to more Web-based units to decrease the need for double classes</w:t>
            </w:r>
            <w:r w:rsidRPr="009B08DB">
              <w:rPr>
                <w:lang w:val="en-AU"/>
              </w:rPr>
              <w:t>.</w:t>
            </w:r>
          </w:p>
          <w:p w:rsidR="009E28BA" w:rsidRPr="00A06717" w:rsidRDefault="009E28BA" w:rsidP="00EF5914">
            <w:pPr>
              <w:rPr>
                <w:sz w:val="22"/>
              </w:rPr>
            </w:pPr>
          </w:p>
        </w:tc>
        <w:tc>
          <w:tcPr>
            <w:tcW w:w="1861" w:type="dxa"/>
          </w:tcPr>
          <w:p w:rsidR="009E28BA" w:rsidRPr="00A06717" w:rsidRDefault="009E28BA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>1. 104 &amp; 105: Implemented staged reduction of face-to-face hours. In 2011 we reduced the tutorial hours to 16 hours per semester (total 55 hours per semester face-to-face.</w:t>
            </w:r>
          </w:p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>2. Introduced composite mode option in all 2</w:t>
            </w:r>
            <w:r w:rsidRPr="00B4088E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year units, and developing alternative-delivery modes in two units taught by R. </w:t>
            </w:r>
            <w:proofErr w:type="spellStart"/>
            <w:r>
              <w:rPr>
                <w:sz w:val="22"/>
              </w:rPr>
              <w:t>Rapee</w:t>
            </w:r>
            <w:proofErr w:type="spellEnd"/>
            <w:r>
              <w:rPr>
                <w:sz w:val="22"/>
              </w:rPr>
              <w:t xml:space="preserve"> &amp; J. Cornish.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612" w:type="dxa"/>
          </w:tcPr>
          <w:p w:rsidR="009E28BA" w:rsidRPr="00394447" w:rsidRDefault="009E28BA" w:rsidP="00394447">
            <w:r w:rsidRPr="00394447">
              <w:t>Correcting the imbalance that sees 7 out of 8 second year units as compulsory core units, which although ensuring a greater number of students continuing to third year Psychology, causes less choice for students across disciplines and more internal workload.</w:t>
            </w:r>
          </w:p>
          <w:p w:rsidR="009E28BA" w:rsidRPr="009B08DB" w:rsidRDefault="009E28BA" w:rsidP="00394447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861" w:type="dxa"/>
          </w:tcPr>
          <w:p w:rsidR="009E28BA" w:rsidRPr="00A06717" w:rsidRDefault="009E28BA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 &amp;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 xml:space="preserve">Discussed at L&amp;T and Departmental meetings and have agreement in principle. Currently investigating APAC </w:t>
            </w:r>
            <w:r w:rsidRPr="00E1378B">
              <w:rPr>
                <w:sz w:val="22"/>
              </w:rPr>
              <w:t>graduate attribute</w:t>
            </w:r>
            <w:r>
              <w:rPr>
                <w:sz w:val="22"/>
              </w:rPr>
              <w:t xml:space="preserve"> requirements but hope to implement a reduction in number of 2</w:t>
            </w:r>
            <w:r w:rsidRPr="00966479">
              <w:rPr>
                <w:sz w:val="22"/>
                <w:vertAlign w:val="superscript"/>
              </w:rPr>
              <w:t>nd</w:t>
            </w:r>
            <w:r w:rsidR="002B5C3B">
              <w:rPr>
                <w:sz w:val="22"/>
              </w:rPr>
              <w:t xml:space="preserve"> year core units from 2013 to align with the timing of the next APAC accreditation cycle.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612" w:type="dxa"/>
          </w:tcPr>
          <w:p w:rsidR="009E28BA" w:rsidRPr="00394447" w:rsidRDefault="009E28BA" w:rsidP="00394447">
            <w:r w:rsidRPr="00394447">
              <w:t>Reducing the units in the core program in psychology to allow students within the Bachelor of Arts to complete a second non-psychology major</w:t>
            </w:r>
          </w:p>
          <w:p w:rsidR="009E28BA" w:rsidRPr="00394447" w:rsidRDefault="009E28BA" w:rsidP="00394447"/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</w:rPr>
              <w:t>1. See response to b</w:t>
            </w:r>
          </w:p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>2. Negotiated a staged removal of 1sst year stats unit PSY122 from curriculum, as of 2013.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3612" w:type="dxa"/>
          </w:tcPr>
          <w:p w:rsidR="009E28BA" w:rsidRPr="00394447" w:rsidRDefault="009E28BA" w:rsidP="00394447">
            <w:r w:rsidRPr="00394447">
              <w:t xml:space="preserve">Equalizing and where appropriate reducing assessment across units while ensuring any student completing the core meets the attributes required of a psychology undergraduate program and the University. </w:t>
            </w:r>
          </w:p>
          <w:p w:rsidR="009E28BA" w:rsidRPr="00394447" w:rsidRDefault="009E28BA" w:rsidP="00394447"/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Learning &amp; Teaching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>Assessment is constrained by MQ policy requiring 3 forms of assessment in 2 modes for each unit. Plan to map graduate capabilities to streamline and reduce duplication across units while ensuring all capabilities are addressed.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</w:p>
        </w:tc>
        <w:tc>
          <w:tcPr>
            <w:tcW w:w="3612" w:type="dxa"/>
          </w:tcPr>
          <w:p w:rsidR="009E28BA" w:rsidRPr="00394447" w:rsidRDefault="009E28BA" w:rsidP="00394447">
            <w:r w:rsidRPr="00B93748">
              <w:t>Allowing students who meet the ATAR to undertake the Bachelor of Arts to take the introductory courses in Psychology</w:t>
            </w:r>
          </w:p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Pr="00A06717" w:rsidRDefault="009E28BA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This issue will be addressed once we know the effect of </w:t>
            </w:r>
            <w:proofErr w:type="gramStart"/>
            <w:r>
              <w:rPr>
                <w:sz w:val="22"/>
              </w:rPr>
              <w:t xml:space="preserve">removing </w:t>
            </w:r>
            <w:r w:rsidR="002B5C3B">
              <w:rPr>
                <w:sz w:val="22"/>
              </w:rPr>
              <w:t xml:space="preserve"> </w:t>
            </w:r>
            <w:r>
              <w:rPr>
                <w:sz w:val="22"/>
              </w:rPr>
              <w:t>PSY122</w:t>
            </w:r>
            <w:proofErr w:type="gramEnd"/>
            <w:r>
              <w:rPr>
                <w:sz w:val="22"/>
              </w:rPr>
              <w:t xml:space="preserve"> on enrolment numbers and progression to 2</w:t>
            </w:r>
            <w:r w:rsidRPr="00AC63D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year. </w:t>
            </w:r>
            <w:r w:rsidR="002B5C3B">
              <w:rPr>
                <w:sz w:val="22"/>
              </w:rPr>
              <w:t xml:space="preserve"> This could have implications for </w:t>
            </w:r>
            <w:proofErr w:type="gramStart"/>
            <w:r w:rsidR="002B5C3B">
              <w:rPr>
                <w:sz w:val="22"/>
              </w:rPr>
              <w:t>space,</w:t>
            </w:r>
            <w:proofErr w:type="gramEnd"/>
            <w:r w:rsidR="002B5C3B">
              <w:rPr>
                <w:sz w:val="22"/>
              </w:rPr>
              <w:t xml:space="preserve"> timetabling and workloads so will need to be managed carefully.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612" w:type="dxa"/>
          </w:tcPr>
          <w:p w:rsidR="009E28BA" w:rsidRPr="001D1B08" w:rsidRDefault="009E28BA" w:rsidP="001D1B08">
            <w:r w:rsidRPr="001D1B08">
              <w:t>Building some practical skills, e.g., counselling and interviewing (e.g., units from Social Health), into the undergraduate program to ensure that the three-year degree remains attractive and viable.</w:t>
            </w:r>
          </w:p>
          <w:p w:rsidR="009E28BA" w:rsidRPr="00B93748" w:rsidRDefault="009E28BA" w:rsidP="00394447"/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 xml:space="preserve">We will be working at establishing external partners such that our PACE unit (PSY399) is professionally relevant. 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612" w:type="dxa"/>
          </w:tcPr>
          <w:p w:rsidR="009E28BA" w:rsidRPr="001D1B08" w:rsidRDefault="009E28BA" w:rsidP="001D1B08">
            <w:r w:rsidRPr="001D1B08">
              <w:t>Redesigning the Honours programme to allow group Honours projects with individual reporting to decrease supervision workload. Attempt to find strategies to reduce competitive anxiety level in Honours students.</w:t>
            </w:r>
          </w:p>
          <w:p w:rsidR="009E28BA" w:rsidRPr="001D1B08" w:rsidRDefault="009E28BA" w:rsidP="001D1B08"/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Fourth year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</w:tcPr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>No dept support for suggestion to have group thesis projects. We will continue to communicate the various registration pathways. We are also seeking accreditation for 5</w:t>
            </w:r>
            <w:r w:rsidRPr="00C44E2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year (PG Dip applied psych) which will offer another alternative to masters. </w:t>
            </w:r>
          </w:p>
        </w:tc>
      </w:tr>
      <w:tr w:rsidR="009E28BA">
        <w:tc>
          <w:tcPr>
            <w:tcW w:w="623" w:type="dxa"/>
          </w:tcPr>
          <w:p w:rsidR="009E28BA" w:rsidRDefault="009E28BA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612" w:type="dxa"/>
          </w:tcPr>
          <w:p w:rsidR="009E28BA" w:rsidRPr="001D1B08" w:rsidRDefault="009E28BA" w:rsidP="001D1B08">
            <w:r w:rsidRPr="001D1B08">
              <w:t>Using complementary expertise in teaching from other University staff both internally (MACCS) and externally (MGSM, ASAM, BBE) to reduce teaching load whilst increasing exposure to new research areas.</w:t>
            </w:r>
          </w:p>
          <w:p w:rsidR="009E28BA" w:rsidRPr="001D1B08" w:rsidRDefault="009E28BA" w:rsidP="001D1B08"/>
        </w:tc>
        <w:tc>
          <w:tcPr>
            <w:tcW w:w="1861" w:type="dxa"/>
          </w:tcPr>
          <w:p w:rsidR="009E28BA" w:rsidRPr="00A06717" w:rsidRDefault="00451457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Learning &amp; Teaching committee, Departmental Executive, and </w:t>
            </w:r>
            <w:proofErr w:type="spellStart"/>
            <w:r>
              <w:rPr>
                <w:sz w:val="22"/>
              </w:rPr>
              <w:t>HoD</w:t>
            </w:r>
            <w:proofErr w:type="spellEnd"/>
            <w:r>
              <w:rPr>
                <w:sz w:val="22"/>
              </w:rPr>
              <w:t xml:space="preserve"> in consultation with other </w:t>
            </w:r>
            <w:proofErr w:type="spellStart"/>
            <w:r>
              <w:rPr>
                <w:sz w:val="22"/>
              </w:rPr>
              <w:t>HoDs</w:t>
            </w:r>
            <w:proofErr w:type="spellEnd"/>
            <w:r>
              <w:rPr>
                <w:sz w:val="22"/>
              </w:rPr>
              <w:t xml:space="preserve"> and directors</w:t>
            </w:r>
          </w:p>
        </w:tc>
        <w:tc>
          <w:tcPr>
            <w:tcW w:w="3260" w:type="dxa"/>
          </w:tcPr>
          <w:p w:rsidR="009E28BA" w:rsidRPr="00A06717" w:rsidRDefault="009E28BA" w:rsidP="009C09E1">
            <w:pPr>
              <w:rPr>
                <w:sz w:val="22"/>
              </w:rPr>
            </w:pPr>
            <w:r>
              <w:rPr>
                <w:sz w:val="22"/>
              </w:rPr>
              <w:t xml:space="preserve">We are continuing discussions of strengthening links with CCD &amp; IHCBS and already share HDR/ </w:t>
            </w:r>
            <w:proofErr w:type="spellStart"/>
            <w:r>
              <w:rPr>
                <w:sz w:val="22"/>
              </w:rPr>
              <w:t>hons</w:t>
            </w:r>
            <w:proofErr w:type="spellEnd"/>
            <w:r>
              <w:rPr>
                <w:sz w:val="22"/>
              </w:rPr>
              <w:t xml:space="preserve"> supervision. If CCD develops U/G units we will discuss how such units might fit into our curricula.  </w:t>
            </w:r>
            <w:r w:rsidR="000D08B8">
              <w:rPr>
                <w:sz w:val="22"/>
              </w:rPr>
              <w:t>We will examine a wider range of options from across the university for our next accreditation in 2013.</w:t>
            </w:r>
          </w:p>
        </w:tc>
      </w:tr>
      <w:tr w:rsidR="003E34E9">
        <w:trPr>
          <w:trHeight w:val="928"/>
        </w:trPr>
        <w:tc>
          <w:tcPr>
            <w:tcW w:w="623" w:type="dxa"/>
            <w:shd w:val="clear" w:color="auto" w:fill="BFBFBF" w:themeFill="background1" w:themeFillShade="BF"/>
          </w:tcPr>
          <w:p w:rsidR="003E34E9" w:rsidRDefault="002E0AA2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:rsidR="002B268E" w:rsidRDefault="002B268E" w:rsidP="003E34E9">
            <w:r w:rsidRPr="002B268E">
              <w:rPr>
                <w:b/>
              </w:rPr>
              <w:t>Postgraduate programs</w:t>
            </w:r>
            <w:r>
              <w:t>:</w:t>
            </w:r>
          </w:p>
          <w:p w:rsidR="003E34E9" w:rsidRPr="002B268E" w:rsidRDefault="003E34E9" w:rsidP="003E34E9">
            <w:pPr>
              <w:rPr>
                <w:i/>
              </w:rPr>
            </w:pPr>
            <w:r w:rsidRPr="002B268E">
              <w:rPr>
                <w:i/>
              </w:rPr>
              <w:t>That the Department examines its postgraduate offerings with a view to:</w:t>
            </w:r>
          </w:p>
          <w:p w:rsidR="003E34E9" w:rsidRDefault="003E34E9" w:rsidP="006E37C1"/>
        </w:tc>
        <w:tc>
          <w:tcPr>
            <w:tcW w:w="1861" w:type="dxa"/>
            <w:shd w:val="clear" w:color="auto" w:fill="BFBFBF" w:themeFill="background1" w:themeFillShade="BF"/>
          </w:tcPr>
          <w:p w:rsidR="003E34E9" w:rsidRDefault="003E34E9" w:rsidP="00EF5914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E34E9" w:rsidRPr="00A06717" w:rsidRDefault="003E34E9" w:rsidP="00EF5914">
            <w:pPr>
              <w:rPr>
                <w:sz w:val="22"/>
              </w:rPr>
            </w:pPr>
          </w:p>
        </w:tc>
      </w:tr>
      <w:tr w:rsidR="003E34E9">
        <w:tc>
          <w:tcPr>
            <w:tcW w:w="623" w:type="dxa"/>
            <w:shd w:val="clear" w:color="auto" w:fill="auto"/>
          </w:tcPr>
          <w:p w:rsidR="003E34E9" w:rsidRDefault="003E34E9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12" w:type="dxa"/>
            <w:shd w:val="clear" w:color="auto" w:fill="auto"/>
          </w:tcPr>
          <w:p w:rsidR="003E34E9" w:rsidRPr="003E34E9" w:rsidRDefault="003E34E9" w:rsidP="003E34E9">
            <w:r w:rsidRPr="003E34E9">
              <w:t>Deleting the Postgraduate Diploma in Psychology, or allowing students who graduate from this program the opportunity to apply for the coursework Masters/PhD programs at Macquarie.</w:t>
            </w:r>
          </w:p>
          <w:p w:rsidR="003E34E9" w:rsidRDefault="003E34E9" w:rsidP="003E34E9"/>
        </w:tc>
        <w:tc>
          <w:tcPr>
            <w:tcW w:w="1861" w:type="dxa"/>
            <w:shd w:val="clear" w:color="auto" w:fill="auto"/>
          </w:tcPr>
          <w:p w:rsidR="003E34E9" w:rsidRDefault="00496BDD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Fourth year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E34E9" w:rsidRPr="00A06717" w:rsidRDefault="009E28BA" w:rsidP="002B6897">
            <w:pPr>
              <w:rPr>
                <w:sz w:val="22"/>
              </w:rPr>
            </w:pPr>
            <w:r>
              <w:rPr>
                <w:sz w:val="22"/>
              </w:rPr>
              <w:t>No dept support for closing this program. It is a feeder into our 5</w:t>
            </w:r>
            <w:r w:rsidRPr="00D44B19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year accredited program (PG Dip applied psych) and many are admitted to </w:t>
            </w:r>
            <w:r w:rsidR="002B6897">
              <w:rPr>
                <w:sz w:val="22"/>
              </w:rPr>
              <w:t xml:space="preserve">clinical </w:t>
            </w:r>
            <w:r>
              <w:rPr>
                <w:sz w:val="22"/>
              </w:rPr>
              <w:t>master’s programs elsewhere</w:t>
            </w:r>
            <w:r w:rsidR="002B6897">
              <w:rPr>
                <w:sz w:val="22"/>
              </w:rPr>
              <w:t xml:space="preserve"> or to our own Master’s in Organisational psych</w:t>
            </w:r>
            <w:r w:rsidR="00F6517D">
              <w:rPr>
                <w:sz w:val="22"/>
              </w:rPr>
              <w:t xml:space="preserve">. </w:t>
            </w:r>
          </w:p>
        </w:tc>
      </w:tr>
      <w:tr w:rsidR="003E34E9">
        <w:tc>
          <w:tcPr>
            <w:tcW w:w="623" w:type="dxa"/>
            <w:shd w:val="clear" w:color="auto" w:fill="auto"/>
          </w:tcPr>
          <w:p w:rsidR="003E34E9" w:rsidRDefault="003E34E9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612" w:type="dxa"/>
            <w:shd w:val="clear" w:color="auto" w:fill="auto"/>
          </w:tcPr>
          <w:p w:rsidR="003E34E9" w:rsidRPr="003E34E9" w:rsidRDefault="003E34E9" w:rsidP="003E34E9">
            <w:r w:rsidRPr="003E34E9">
              <w:t>Reducing any electives within each of the postgraduate programs to ensure that staff with expertise and experience in teaching skills can contribute to the undergraduate program.</w:t>
            </w:r>
          </w:p>
          <w:p w:rsidR="003E34E9" w:rsidRPr="003E34E9" w:rsidRDefault="003E34E9" w:rsidP="003E34E9"/>
        </w:tc>
        <w:tc>
          <w:tcPr>
            <w:tcW w:w="1861" w:type="dxa"/>
            <w:shd w:val="clear" w:color="auto" w:fill="auto"/>
          </w:tcPr>
          <w:p w:rsidR="003E34E9" w:rsidRDefault="00496BDD" w:rsidP="00EF59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Postgraduate coursework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E34E9" w:rsidRDefault="00CD046C" w:rsidP="003E34E9">
            <w:pPr>
              <w:rPr>
                <w:sz w:val="22"/>
              </w:rPr>
            </w:pPr>
            <w:r>
              <w:rPr>
                <w:sz w:val="22"/>
              </w:rPr>
              <w:t xml:space="preserve">We have reduced offerings </w:t>
            </w:r>
            <w:r w:rsidR="00F6517D">
              <w:rPr>
                <w:sz w:val="22"/>
              </w:rPr>
              <w:t xml:space="preserve">as a result of the PG Review, </w:t>
            </w:r>
            <w:r>
              <w:rPr>
                <w:sz w:val="22"/>
              </w:rPr>
              <w:t>and will revisit the teaching loads once the new curriculum is rolled out.</w:t>
            </w:r>
          </w:p>
        </w:tc>
      </w:tr>
      <w:tr w:rsidR="003E34E9">
        <w:tc>
          <w:tcPr>
            <w:tcW w:w="623" w:type="dxa"/>
            <w:shd w:val="clear" w:color="auto" w:fill="auto"/>
          </w:tcPr>
          <w:p w:rsidR="003E34E9" w:rsidRDefault="003E34E9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3612" w:type="dxa"/>
            <w:shd w:val="clear" w:color="auto" w:fill="auto"/>
          </w:tcPr>
          <w:p w:rsidR="003E34E9" w:rsidRPr="003E34E9" w:rsidRDefault="003E34E9" w:rsidP="003E34E9">
            <w:r w:rsidRPr="003E34E9">
              <w:t>Allowing students to take units outside the Department as part of their program, e.g., units in the MBA could feed into the Masters in Organizational Psychology and vice-versa.</w:t>
            </w:r>
          </w:p>
          <w:p w:rsidR="003E34E9" w:rsidRPr="003E34E9" w:rsidRDefault="003E34E9" w:rsidP="003E34E9"/>
        </w:tc>
        <w:tc>
          <w:tcPr>
            <w:tcW w:w="1861" w:type="dxa"/>
            <w:shd w:val="clear" w:color="auto" w:fill="auto"/>
          </w:tcPr>
          <w:p w:rsidR="003E34E9" w:rsidRDefault="00496BDD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Postgraduate coursework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E34E9" w:rsidRDefault="00982092" w:rsidP="00982092">
            <w:pPr>
              <w:rPr>
                <w:sz w:val="22"/>
              </w:rPr>
            </w:pPr>
            <w:r>
              <w:rPr>
                <w:sz w:val="22"/>
              </w:rPr>
              <w:t>Not</w:t>
            </w:r>
            <w:r w:rsidR="00CD046C">
              <w:rPr>
                <w:sz w:val="22"/>
              </w:rPr>
              <w:t xml:space="preserve"> high priority</w:t>
            </w:r>
            <w:r>
              <w:rPr>
                <w:sz w:val="22"/>
              </w:rPr>
              <w:t xml:space="preserve">: we </w:t>
            </w:r>
            <w:r w:rsidR="00CD046C">
              <w:rPr>
                <w:sz w:val="22"/>
              </w:rPr>
              <w:t>will examine this suggestion once we roll out the other suggested changes in the curriculum (e.g., elimination of PSY122, reduction in core units)</w:t>
            </w:r>
          </w:p>
        </w:tc>
      </w:tr>
      <w:tr w:rsidR="003E34E9">
        <w:trPr>
          <w:trHeight w:val="2331"/>
        </w:trPr>
        <w:tc>
          <w:tcPr>
            <w:tcW w:w="623" w:type="dxa"/>
            <w:shd w:val="clear" w:color="auto" w:fill="auto"/>
          </w:tcPr>
          <w:p w:rsidR="003E34E9" w:rsidRDefault="003E34E9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3612" w:type="dxa"/>
            <w:shd w:val="clear" w:color="auto" w:fill="auto"/>
          </w:tcPr>
          <w:p w:rsidR="003E34E9" w:rsidRPr="003E34E9" w:rsidRDefault="003E34E9" w:rsidP="003E34E9">
            <w:r w:rsidRPr="003E34E9">
              <w:t xml:space="preserve">Consider whether the best interests of the Department and its students are served by continuing with the </w:t>
            </w:r>
            <w:r w:rsidR="004873B5">
              <w:t xml:space="preserve">Post </w:t>
            </w:r>
            <w:r w:rsidRPr="003E34E9">
              <w:t>Graduate Diploma in Social Health, or whether the skills employed in this program would be better used elsewhere within the undergraduate programmes.</w:t>
            </w:r>
          </w:p>
          <w:p w:rsidR="003E34E9" w:rsidRPr="003E34E9" w:rsidRDefault="003E34E9" w:rsidP="003E34E9"/>
        </w:tc>
        <w:tc>
          <w:tcPr>
            <w:tcW w:w="1861" w:type="dxa"/>
            <w:shd w:val="clear" w:color="auto" w:fill="auto"/>
          </w:tcPr>
          <w:p w:rsidR="003E34E9" w:rsidRDefault="00496BDD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Postgraduate coursework committee, Departmental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D046C" w:rsidRPr="00CD046C" w:rsidRDefault="00CD046C" w:rsidP="003E34E9">
            <w:pPr>
              <w:rPr>
                <w:sz w:val="22"/>
              </w:rPr>
            </w:pPr>
            <w:r w:rsidRPr="00CD046C">
              <w:rPr>
                <w:rFonts w:eastAsiaTheme="minorHAnsi" w:cs="Helvetica"/>
                <w:sz w:val="22"/>
                <w:lang w:val="en-US" w:eastAsia="en-US"/>
              </w:rPr>
              <w:t xml:space="preserve">We </w:t>
            </w:r>
            <w:r w:rsidR="00F14D5D">
              <w:rPr>
                <w:rFonts w:eastAsiaTheme="minorHAnsi" w:cs="Helvetica"/>
                <w:sz w:val="22"/>
                <w:lang w:val="en-US" w:eastAsia="en-US"/>
              </w:rPr>
              <w:t>plan to</w:t>
            </w:r>
            <w:r w:rsidRPr="00CD046C">
              <w:rPr>
                <w:rFonts w:eastAsiaTheme="minorHAnsi" w:cs="Helvetica"/>
                <w:sz w:val="22"/>
                <w:lang w:val="en-US" w:eastAsia="en-US"/>
              </w:rPr>
              <w:t xml:space="preserve"> evaluate the </w:t>
            </w:r>
            <w:r w:rsidR="00F14D5D">
              <w:rPr>
                <w:rFonts w:eastAsiaTheme="minorHAnsi" w:cs="Helvetica"/>
                <w:sz w:val="22"/>
                <w:lang w:val="en-US" w:eastAsia="en-US"/>
              </w:rPr>
              <w:t xml:space="preserve">Social Health </w:t>
            </w:r>
            <w:r w:rsidRPr="00CD046C">
              <w:rPr>
                <w:rFonts w:eastAsiaTheme="minorHAnsi" w:cs="Helvetica"/>
                <w:sz w:val="22"/>
                <w:lang w:val="en-US" w:eastAsia="en-US"/>
              </w:rPr>
              <w:t xml:space="preserve">program to ensure it serves a useful function. </w:t>
            </w:r>
            <w:r w:rsidR="004B7A1C">
              <w:rPr>
                <w:rFonts w:eastAsiaTheme="minorHAnsi" w:cs="Helvetica"/>
                <w:sz w:val="22"/>
                <w:lang w:val="en-US" w:eastAsia="en-US"/>
              </w:rPr>
              <w:t xml:space="preserve">As for including such skills in the U/G program we </w:t>
            </w:r>
            <w:r w:rsidRPr="00CD046C">
              <w:rPr>
                <w:rFonts w:eastAsiaTheme="minorHAnsi" w:cs="Helvetica"/>
                <w:sz w:val="22"/>
                <w:lang w:val="en-US" w:eastAsia="en-US"/>
              </w:rPr>
              <w:t xml:space="preserve">encourage </w:t>
            </w:r>
            <w:r w:rsidR="00F14D5D">
              <w:rPr>
                <w:rFonts w:eastAsiaTheme="minorHAnsi" w:cs="Helvetica"/>
                <w:sz w:val="22"/>
                <w:lang w:val="en-US" w:eastAsia="en-US"/>
              </w:rPr>
              <w:t>these</w:t>
            </w:r>
            <w:r w:rsidRPr="00CD046C">
              <w:rPr>
                <w:rFonts w:eastAsiaTheme="minorHAnsi" w:cs="Helvetica"/>
                <w:sz w:val="22"/>
                <w:lang w:val="en-US" w:eastAsia="en-US"/>
              </w:rPr>
              <w:t xml:space="preserve"> skills within our capstone </w:t>
            </w:r>
            <w:r w:rsidR="004B7A1C">
              <w:rPr>
                <w:rFonts w:eastAsiaTheme="minorHAnsi" w:cs="Helvetica"/>
                <w:sz w:val="22"/>
                <w:lang w:val="en-US" w:eastAsia="en-US"/>
              </w:rPr>
              <w:t xml:space="preserve">“PACE” </w:t>
            </w:r>
            <w:r w:rsidRPr="00CD046C">
              <w:rPr>
                <w:rFonts w:eastAsiaTheme="minorHAnsi" w:cs="Helvetica"/>
                <w:sz w:val="22"/>
                <w:lang w:val="en-US" w:eastAsia="en-US"/>
              </w:rPr>
              <w:t>unit</w:t>
            </w:r>
            <w:r w:rsidR="00C2522D">
              <w:rPr>
                <w:rFonts w:eastAsiaTheme="minorHAnsi" w:cs="Helvetica"/>
                <w:sz w:val="22"/>
                <w:lang w:val="en-US" w:eastAsia="en-US"/>
              </w:rPr>
              <w:t xml:space="preserve"> (PSY399) and there are counseling units at the 4</w:t>
            </w:r>
            <w:r w:rsidR="00C2522D" w:rsidRPr="00C2522D">
              <w:rPr>
                <w:rFonts w:eastAsiaTheme="minorHAnsi" w:cs="Helvetica"/>
                <w:sz w:val="22"/>
                <w:vertAlign w:val="superscript"/>
                <w:lang w:val="en-US" w:eastAsia="en-US"/>
              </w:rPr>
              <w:t>th</w:t>
            </w:r>
            <w:r w:rsidR="00C2522D">
              <w:rPr>
                <w:rFonts w:eastAsiaTheme="minorHAnsi" w:cs="Helvetica"/>
                <w:sz w:val="22"/>
                <w:lang w:val="en-US" w:eastAsia="en-US"/>
              </w:rPr>
              <w:t xml:space="preserve"> year level. </w:t>
            </w:r>
            <w:r w:rsidR="006E5156">
              <w:rPr>
                <w:rFonts w:eastAsiaTheme="minorHAnsi" w:cs="Helvetica"/>
                <w:sz w:val="22"/>
                <w:lang w:val="en-US" w:eastAsia="en-US"/>
              </w:rPr>
              <w:t xml:space="preserve"> </w:t>
            </w:r>
          </w:p>
          <w:p w:rsidR="00CD046C" w:rsidRDefault="00CD046C" w:rsidP="003E34E9">
            <w:pPr>
              <w:rPr>
                <w:sz w:val="22"/>
              </w:rPr>
            </w:pPr>
          </w:p>
          <w:p w:rsidR="00CD046C" w:rsidRDefault="00CD046C" w:rsidP="003E34E9">
            <w:pPr>
              <w:rPr>
                <w:sz w:val="22"/>
              </w:rPr>
            </w:pPr>
          </w:p>
          <w:p w:rsidR="003E34E9" w:rsidRDefault="003E34E9" w:rsidP="003E34E9">
            <w:pPr>
              <w:rPr>
                <w:sz w:val="22"/>
              </w:rPr>
            </w:pPr>
          </w:p>
        </w:tc>
      </w:tr>
      <w:tr w:rsidR="00B56F8F">
        <w:tc>
          <w:tcPr>
            <w:tcW w:w="623" w:type="dxa"/>
            <w:shd w:val="clear" w:color="auto" w:fill="auto"/>
          </w:tcPr>
          <w:p w:rsidR="00B56F8F" w:rsidRDefault="00B56F8F" w:rsidP="00EF5914">
            <w:pPr>
              <w:rPr>
                <w:sz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612" w:type="dxa"/>
            <w:shd w:val="clear" w:color="auto" w:fill="auto"/>
          </w:tcPr>
          <w:p w:rsidR="00B56F8F" w:rsidRPr="003E34E9" w:rsidRDefault="00B56F8F" w:rsidP="003E34E9">
            <w:r>
              <w:t>S</w:t>
            </w:r>
            <w:r w:rsidRPr="00266B65">
              <w:t>eek accreditation of the Postgraduate Diploma in Applied Psychology as five year training in Psychology</w:t>
            </w:r>
          </w:p>
        </w:tc>
        <w:tc>
          <w:tcPr>
            <w:tcW w:w="1861" w:type="dxa"/>
            <w:shd w:val="clear" w:color="auto" w:fill="auto"/>
          </w:tcPr>
          <w:p w:rsidR="00B56F8F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Postgraduate coursework committee, Departmental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56F8F" w:rsidRDefault="00B56F8F" w:rsidP="003E34E9">
            <w:pPr>
              <w:rPr>
                <w:sz w:val="22"/>
              </w:rPr>
            </w:pPr>
            <w:r>
              <w:rPr>
                <w:sz w:val="22"/>
                <w:szCs w:val="22"/>
              </w:rPr>
              <w:t>Actioned: Submitted application and site visit on 18</w:t>
            </w:r>
            <w:r w:rsidRPr="003E34E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 2011. Program also changed name to PGDIP in Professional Psych.</w:t>
            </w:r>
          </w:p>
        </w:tc>
      </w:tr>
      <w:tr w:rsidR="004873B5">
        <w:tc>
          <w:tcPr>
            <w:tcW w:w="623" w:type="dxa"/>
            <w:shd w:val="clear" w:color="auto" w:fill="auto"/>
          </w:tcPr>
          <w:p w:rsidR="004873B5" w:rsidRDefault="00B56F8F" w:rsidP="00EF5914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3612" w:type="dxa"/>
            <w:shd w:val="clear" w:color="auto" w:fill="auto"/>
          </w:tcPr>
          <w:p w:rsidR="004873B5" w:rsidRPr="003E34E9" w:rsidRDefault="004873B5" w:rsidP="00EF5914">
            <w:r w:rsidRPr="003E34E9">
              <w:t xml:space="preserve">Give serious consideration to succession planning with respect to the Postgraduate Diploma in Applied Psychology and the Graduate Diploma in Social Health, </w:t>
            </w:r>
            <w:r>
              <w:t>as even though they expressed concern re the latter, they felt it should continue.</w:t>
            </w:r>
          </w:p>
          <w:p w:rsidR="004873B5" w:rsidRDefault="004873B5" w:rsidP="00EF5914"/>
        </w:tc>
        <w:tc>
          <w:tcPr>
            <w:tcW w:w="1861" w:type="dxa"/>
            <w:shd w:val="clear" w:color="auto" w:fill="auto"/>
          </w:tcPr>
          <w:p w:rsidR="004873B5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Departmental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73B5" w:rsidRDefault="00E332AE" w:rsidP="008D06D9">
            <w:pPr>
              <w:rPr>
                <w:sz w:val="22"/>
              </w:rPr>
            </w:pPr>
            <w:r>
              <w:rPr>
                <w:sz w:val="22"/>
              </w:rPr>
              <w:t xml:space="preserve">Not high priority: </w:t>
            </w:r>
            <w:r w:rsidR="00DE0AF3">
              <w:rPr>
                <w:sz w:val="22"/>
              </w:rPr>
              <w:t xml:space="preserve">There is existing capacity </w:t>
            </w:r>
            <w:r w:rsidR="008D06D9">
              <w:rPr>
                <w:sz w:val="22"/>
              </w:rPr>
              <w:t>within</w:t>
            </w:r>
            <w:r w:rsidR="00DE0AF3">
              <w:rPr>
                <w:sz w:val="22"/>
              </w:rPr>
              <w:t xml:space="preserve"> the department for immediate succession </w:t>
            </w:r>
            <w:r w:rsidR="008D06D9">
              <w:rPr>
                <w:sz w:val="22"/>
              </w:rPr>
              <w:t>for an interim period. S</w:t>
            </w:r>
            <w:r w:rsidR="00DE0AF3">
              <w:rPr>
                <w:sz w:val="22"/>
              </w:rPr>
              <w:t xml:space="preserve">hould one or both directors of these programs resign we would readvertise the positions. </w:t>
            </w:r>
          </w:p>
        </w:tc>
      </w:tr>
      <w:tr w:rsidR="003E34E9">
        <w:tc>
          <w:tcPr>
            <w:tcW w:w="623" w:type="dxa"/>
            <w:shd w:val="clear" w:color="auto" w:fill="auto"/>
          </w:tcPr>
          <w:p w:rsidR="003E34E9" w:rsidRDefault="00DE0AF3" w:rsidP="00EF5914">
            <w:pPr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3612" w:type="dxa"/>
            <w:shd w:val="clear" w:color="auto" w:fill="auto"/>
          </w:tcPr>
          <w:p w:rsidR="003E34E9" w:rsidRPr="003E34E9" w:rsidRDefault="003E34E9" w:rsidP="003E34E9">
            <w:r>
              <w:t>Building MQ University differentiation of offerings in areas of research strength, in line with the Strategic plan e</w:t>
            </w:r>
            <w:r w:rsidR="00982092">
              <w:t>.</w:t>
            </w:r>
            <w:r>
              <w:t>g</w:t>
            </w:r>
            <w:r w:rsidR="00982092">
              <w:t>.</w:t>
            </w:r>
            <w:r>
              <w:t xml:space="preserve"> research intersections w</w:t>
            </w:r>
            <w:r w:rsidR="00B56F8F">
              <w:t>ith ASAM and MACCS (</w:t>
            </w:r>
            <w:proofErr w:type="spellStart"/>
            <w:r w:rsidR="00B56F8F">
              <w:t>C</w:t>
            </w:r>
            <w:r>
              <w:t>lin</w:t>
            </w:r>
            <w:proofErr w:type="spellEnd"/>
            <w:r>
              <w:t xml:space="preserve"> </w:t>
            </w:r>
            <w:proofErr w:type="spellStart"/>
            <w:r>
              <w:t>Neuro</w:t>
            </w:r>
            <w:proofErr w:type="spellEnd"/>
            <w:r>
              <w:t>) or MGSM (Org)</w:t>
            </w:r>
          </w:p>
        </w:tc>
        <w:tc>
          <w:tcPr>
            <w:tcW w:w="1861" w:type="dxa"/>
            <w:shd w:val="clear" w:color="auto" w:fill="auto"/>
          </w:tcPr>
          <w:p w:rsidR="003E34E9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Postgraduate coursework committee, Departmental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E34E9" w:rsidRDefault="00B56F8F" w:rsidP="009D4A66">
            <w:pPr>
              <w:rPr>
                <w:sz w:val="22"/>
              </w:rPr>
            </w:pPr>
            <w:r>
              <w:rPr>
                <w:sz w:val="22"/>
              </w:rPr>
              <w:t xml:space="preserve">MACCS already owns a unit in clinical neuropsychology. </w:t>
            </w:r>
            <w:r w:rsidR="009D4A66">
              <w:rPr>
                <w:sz w:val="22"/>
              </w:rPr>
              <w:t xml:space="preserve">As the CCD evolves other opportunities may arise. </w:t>
            </w:r>
            <w:r>
              <w:rPr>
                <w:sz w:val="22"/>
              </w:rPr>
              <w:t xml:space="preserve">MGSM options were trialled previously and the outcome proved difficult for our students. </w:t>
            </w:r>
          </w:p>
        </w:tc>
      </w:tr>
      <w:tr w:rsidR="00E31706">
        <w:tc>
          <w:tcPr>
            <w:tcW w:w="623" w:type="dxa"/>
            <w:shd w:val="clear" w:color="auto" w:fill="BFBFBF" w:themeFill="background1" w:themeFillShade="BF"/>
          </w:tcPr>
          <w:p w:rsidR="00E31706" w:rsidRDefault="00E31706" w:rsidP="00EF5914">
            <w:pPr>
              <w:rPr>
                <w:sz w:val="22"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</w:tcPr>
          <w:p w:rsidR="00E31706" w:rsidRPr="002B268E" w:rsidRDefault="00E31706" w:rsidP="003E34E9">
            <w:pPr>
              <w:rPr>
                <w:b/>
              </w:rPr>
            </w:pPr>
            <w:r w:rsidRPr="002B268E">
              <w:rPr>
                <w:b/>
              </w:rPr>
              <w:t>Feedback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E31706" w:rsidRDefault="00E31706" w:rsidP="00EF5914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E31706" w:rsidRDefault="00E31706" w:rsidP="003E34E9">
            <w:pPr>
              <w:rPr>
                <w:sz w:val="22"/>
              </w:rPr>
            </w:pPr>
          </w:p>
        </w:tc>
      </w:tr>
      <w:tr w:rsidR="00E31706">
        <w:tc>
          <w:tcPr>
            <w:tcW w:w="623" w:type="dxa"/>
            <w:shd w:val="clear" w:color="auto" w:fill="auto"/>
          </w:tcPr>
          <w:p w:rsidR="00E3170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3612" w:type="dxa"/>
            <w:shd w:val="clear" w:color="auto" w:fill="auto"/>
          </w:tcPr>
          <w:p w:rsidR="00E31706" w:rsidRDefault="00E31706" w:rsidP="003E34E9">
            <w:r w:rsidRPr="00BC2732">
              <w:t xml:space="preserve">the </w:t>
            </w:r>
            <w:r>
              <w:t>Department</w:t>
            </w:r>
            <w:r w:rsidRPr="00BC2732">
              <w:t xml:space="preserve"> cease using Blackboard to obtain feedback and require unit coordinators to seek feedback in the last class that is likely to be well–attended, e.g., a tutorial class</w:t>
            </w:r>
          </w:p>
        </w:tc>
        <w:tc>
          <w:tcPr>
            <w:tcW w:w="1861" w:type="dxa"/>
            <w:shd w:val="clear" w:color="auto" w:fill="auto"/>
          </w:tcPr>
          <w:p w:rsidR="00E31706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>Learning and Teaching committee</w:t>
            </w:r>
          </w:p>
        </w:tc>
        <w:tc>
          <w:tcPr>
            <w:tcW w:w="3260" w:type="dxa"/>
            <w:shd w:val="clear" w:color="auto" w:fill="auto"/>
          </w:tcPr>
          <w:p w:rsidR="00E31706" w:rsidRDefault="00A60F94" w:rsidP="00D43B8C">
            <w:pPr>
              <w:rPr>
                <w:sz w:val="22"/>
              </w:rPr>
            </w:pPr>
            <w:r>
              <w:rPr>
                <w:sz w:val="22"/>
              </w:rPr>
              <w:t>Student f</w:t>
            </w:r>
            <w:r w:rsidR="009E33EC">
              <w:rPr>
                <w:sz w:val="22"/>
              </w:rPr>
              <w:t xml:space="preserve">eedback </w:t>
            </w:r>
            <w:r w:rsidR="00D43B8C">
              <w:rPr>
                <w:sz w:val="22"/>
              </w:rPr>
              <w:t xml:space="preserve">is </w:t>
            </w:r>
            <w:r>
              <w:rPr>
                <w:sz w:val="22"/>
              </w:rPr>
              <w:t xml:space="preserve">rarely obtained through Blackboard.  Rather, it is </w:t>
            </w:r>
            <w:r w:rsidR="00D43B8C">
              <w:rPr>
                <w:sz w:val="22"/>
              </w:rPr>
              <w:t xml:space="preserve">obtained once per semester through LEUs and TEDS. We are considering making these compulsory for all units every semester. </w:t>
            </w:r>
            <w:r w:rsidR="009E33EC">
              <w:rPr>
                <w:sz w:val="22"/>
              </w:rPr>
              <w:t xml:space="preserve"> </w:t>
            </w:r>
            <w:r w:rsidR="000D08B8">
              <w:rPr>
                <w:sz w:val="22"/>
              </w:rPr>
              <w:t>This will need to be discussed with LTC to ensure they have the capacity to carry out this task.</w:t>
            </w:r>
          </w:p>
        </w:tc>
      </w:tr>
      <w:tr w:rsidR="00E31706">
        <w:tc>
          <w:tcPr>
            <w:tcW w:w="623" w:type="dxa"/>
            <w:shd w:val="clear" w:color="auto" w:fill="auto"/>
          </w:tcPr>
          <w:p w:rsidR="00E3170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</w:t>
            </w:r>
          </w:p>
        </w:tc>
        <w:tc>
          <w:tcPr>
            <w:tcW w:w="3612" w:type="dxa"/>
            <w:shd w:val="clear" w:color="auto" w:fill="auto"/>
          </w:tcPr>
          <w:p w:rsidR="00E31706" w:rsidRPr="00BC2732" w:rsidRDefault="00E31706" w:rsidP="003E34E9">
            <w:r>
              <w:t>A</w:t>
            </w:r>
            <w:r w:rsidRPr="00BC2732">
              <w:t>s a requirement for entry into a doctoral program, students agree to be interviewed by a third party on conclusion of their program</w:t>
            </w:r>
          </w:p>
        </w:tc>
        <w:tc>
          <w:tcPr>
            <w:tcW w:w="1861" w:type="dxa"/>
            <w:shd w:val="clear" w:color="auto" w:fill="auto"/>
          </w:tcPr>
          <w:p w:rsidR="00E31706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>HDR committee</w:t>
            </w:r>
          </w:p>
        </w:tc>
        <w:tc>
          <w:tcPr>
            <w:tcW w:w="3260" w:type="dxa"/>
            <w:shd w:val="clear" w:color="auto" w:fill="auto"/>
          </w:tcPr>
          <w:p w:rsidR="00E31706" w:rsidRDefault="002D2E97" w:rsidP="0020468B">
            <w:pPr>
              <w:rPr>
                <w:sz w:val="22"/>
              </w:rPr>
            </w:pPr>
            <w:r>
              <w:rPr>
                <w:sz w:val="22"/>
              </w:rPr>
              <w:t xml:space="preserve">We encourage response rates to MUSEQ-R. We are open to the suggestion but there </w:t>
            </w:r>
            <w:r w:rsidR="0020468B">
              <w:rPr>
                <w:sz w:val="22"/>
              </w:rPr>
              <w:t>may be</w:t>
            </w:r>
            <w:r>
              <w:rPr>
                <w:sz w:val="22"/>
              </w:rPr>
              <w:t xml:space="preserve"> budgetary considerations</w:t>
            </w:r>
            <w:r w:rsidR="009C5C12">
              <w:rPr>
                <w:sz w:val="22"/>
              </w:rPr>
              <w:t xml:space="preserve"> </w:t>
            </w:r>
            <w:r w:rsidR="0020468B">
              <w:rPr>
                <w:sz w:val="22"/>
              </w:rPr>
              <w:t xml:space="preserve">in getting a “third party” involved. We will forward </w:t>
            </w:r>
            <w:r w:rsidR="009C5C12">
              <w:rPr>
                <w:sz w:val="22"/>
              </w:rPr>
              <w:t xml:space="preserve">the </w:t>
            </w:r>
            <w:r w:rsidR="0020468B">
              <w:rPr>
                <w:sz w:val="22"/>
              </w:rPr>
              <w:t xml:space="preserve">recommendation to Faculty </w:t>
            </w:r>
            <w:r w:rsidR="009C5C12">
              <w:rPr>
                <w:sz w:val="22"/>
              </w:rPr>
              <w:t>HDR.</w:t>
            </w:r>
            <w:r w:rsidR="000D08B8">
              <w:rPr>
                <w:sz w:val="22"/>
              </w:rPr>
              <w:t xml:space="preserve"> The Faculty HDR Office is investigating its capacity to take on this task.</w:t>
            </w:r>
          </w:p>
        </w:tc>
      </w:tr>
      <w:tr w:rsidR="00E31706">
        <w:tc>
          <w:tcPr>
            <w:tcW w:w="623" w:type="dxa"/>
            <w:shd w:val="clear" w:color="auto" w:fill="auto"/>
          </w:tcPr>
          <w:p w:rsidR="00E3170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3612" w:type="dxa"/>
            <w:shd w:val="clear" w:color="auto" w:fill="auto"/>
          </w:tcPr>
          <w:p w:rsidR="00E31706" w:rsidRDefault="00471950" w:rsidP="003E34E9">
            <w:r>
              <w:t>That the</w:t>
            </w:r>
            <w:r w:rsidR="00E31706" w:rsidRPr="00BC2732">
              <w:t xml:space="preserve"> University seek to align its practices with respect to obtaining feedback on the CEQ and GDS with those of other Universities</w:t>
            </w:r>
            <w:r w:rsidR="006E2E0B">
              <w:t xml:space="preserve"> – i</w:t>
            </w:r>
            <w:r>
              <w:t>.</w:t>
            </w:r>
            <w:r w:rsidR="006E2E0B">
              <w:t>e</w:t>
            </w:r>
            <w:r>
              <w:t>.,</w:t>
            </w:r>
            <w:r w:rsidR="006E2E0B">
              <w:t xml:space="preserve"> and do this at graduation</w:t>
            </w:r>
          </w:p>
        </w:tc>
        <w:tc>
          <w:tcPr>
            <w:tcW w:w="1861" w:type="dxa"/>
            <w:shd w:val="clear" w:color="auto" w:fill="auto"/>
          </w:tcPr>
          <w:p w:rsidR="00E31706" w:rsidRDefault="00A779EE" w:rsidP="00EF5914">
            <w:pPr>
              <w:rPr>
                <w:sz w:val="22"/>
              </w:rPr>
            </w:pPr>
            <w:r>
              <w:rPr>
                <w:sz w:val="22"/>
              </w:rPr>
              <w:t>Learning &amp; Teaching and HDR committee</w:t>
            </w:r>
          </w:p>
        </w:tc>
        <w:tc>
          <w:tcPr>
            <w:tcW w:w="3260" w:type="dxa"/>
            <w:shd w:val="clear" w:color="auto" w:fill="auto"/>
          </w:tcPr>
          <w:p w:rsidR="00E31706" w:rsidRDefault="00471950" w:rsidP="003E34E9">
            <w:pPr>
              <w:rPr>
                <w:sz w:val="22"/>
              </w:rPr>
            </w:pPr>
            <w:r>
              <w:rPr>
                <w:sz w:val="22"/>
              </w:rPr>
              <w:t xml:space="preserve">This is a University responsibility that seems to have been implemented at the recent graduation. </w:t>
            </w:r>
          </w:p>
        </w:tc>
      </w:tr>
      <w:tr w:rsidR="006E2E0B">
        <w:tc>
          <w:tcPr>
            <w:tcW w:w="623" w:type="dxa"/>
            <w:shd w:val="clear" w:color="auto" w:fill="BFBFBF" w:themeFill="background1" w:themeFillShade="BF"/>
          </w:tcPr>
          <w:p w:rsidR="006E2E0B" w:rsidRDefault="006E2E0B" w:rsidP="00EF5914">
            <w:pPr>
              <w:rPr>
                <w:sz w:val="22"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</w:tcPr>
          <w:p w:rsidR="00691050" w:rsidRDefault="006E2E0B" w:rsidP="006E2E0B">
            <w:pPr>
              <w:rPr>
                <w:b/>
              </w:rPr>
            </w:pPr>
            <w:r w:rsidRPr="00440248">
              <w:rPr>
                <w:b/>
              </w:rPr>
              <w:t>Workload</w:t>
            </w:r>
            <w:r w:rsidR="006F20D6">
              <w:rPr>
                <w:b/>
              </w:rPr>
              <w:t xml:space="preserve">: </w:t>
            </w:r>
          </w:p>
          <w:p w:rsidR="006E2E0B" w:rsidRPr="00691050" w:rsidRDefault="006F20D6" w:rsidP="006E2E0B">
            <w:pPr>
              <w:rPr>
                <w:i/>
              </w:rPr>
            </w:pPr>
            <w:r w:rsidRPr="00691050">
              <w:rPr>
                <w:i/>
              </w:rPr>
              <w:t xml:space="preserve">That the </w:t>
            </w:r>
            <w:r w:rsidR="00691050" w:rsidRPr="00691050">
              <w:rPr>
                <w:i/>
              </w:rPr>
              <w:t xml:space="preserve">Dept/Faculty re-examine </w:t>
            </w:r>
            <w:r w:rsidRPr="00691050">
              <w:rPr>
                <w:i/>
              </w:rPr>
              <w:t>workload models to ensure: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6E2E0B" w:rsidRDefault="006E2E0B" w:rsidP="00EF5914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6E2E0B" w:rsidRDefault="006E2E0B" w:rsidP="003E34E9">
            <w:pPr>
              <w:rPr>
                <w:sz w:val="22"/>
              </w:rPr>
            </w:pPr>
          </w:p>
        </w:tc>
      </w:tr>
      <w:tr w:rsidR="006E2E0B">
        <w:tc>
          <w:tcPr>
            <w:tcW w:w="623" w:type="dxa"/>
            <w:shd w:val="clear" w:color="auto" w:fill="auto"/>
          </w:tcPr>
          <w:p w:rsidR="006E2E0B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3612" w:type="dxa"/>
            <w:shd w:val="clear" w:color="auto" w:fill="auto"/>
          </w:tcPr>
          <w:p w:rsidR="006E2E0B" w:rsidRPr="009A631A" w:rsidRDefault="006F20D6" w:rsidP="006E2E0B">
            <w:r w:rsidRPr="006F20D6">
              <w:t>That they capture the diversity of interests and expertise to be found within the Department with a new balanced teaching/research workload model.</w:t>
            </w:r>
          </w:p>
        </w:tc>
        <w:tc>
          <w:tcPr>
            <w:tcW w:w="1861" w:type="dxa"/>
            <w:shd w:val="clear" w:color="auto" w:fill="auto"/>
          </w:tcPr>
          <w:p w:rsidR="006E2E0B" w:rsidRDefault="00A92007" w:rsidP="00EF5914">
            <w:pPr>
              <w:rPr>
                <w:sz w:val="22"/>
              </w:rPr>
            </w:pPr>
            <w:r>
              <w:rPr>
                <w:sz w:val="22"/>
              </w:rPr>
              <w:t>Faculty working group on the Workloads model</w:t>
            </w:r>
          </w:p>
        </w:tc>
        <w:tc>
          <w:tcPr>
            <w:tcW w:w="3260" w:type="dxa"/>
            <w:shd w:val="clear" w:color="auto" w:fill="auto"/>
          </w:tcPr>
          <w:p w:rsidR="006E2E0B" w:rsidRDefault="00282A92" w:rsidP="00890DD9">
            <w:pPr>
              <w:rPr>
                <w:sz w:val="22"/>
              </w:rPr>
            </w:pPr>
            <w:r>
              <w:rPr>
                <w:sz w:val="22"/>
              </w:rPr>
              <w:t xml:space="preserve">The Faculty is currently designing a new workload model, and Psychology is represented on this working </w:t>
            </w:r>
            <w:r w:rsidR="00890DD9">
              <w:rPr>
                <w:sz w:val="22"/>
              </w:rPr>
              <w:t>group</w:t>
            </w:r>
            <w:r>
              <w:rPr>
                <w:sz w:val="22"/>
              </w:rPr>
              <w:t xml:space="preserve">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they do not place an emphasis on face-to-face teaching and all that entails</w:t>
            </w:r>
          </w:p>
          <w:p w:rsidR="006F20D6" w:rsidRPr="006F20D6" w:rsidRDefault="006F20D6" w:rsidP="006F20D6"/>
        </w:tc>
        <w:tc>
          <w:tcPr>
            <w:tcW w:w="1861" w:type="dxa"/>
            <w:shd w:val="clear" w:color="auto" w:fill="auto"/>
          </w:tcPr>
          <w:p w:rsidR="006F20D6" w:rsidRDefault="00B9511A" w:rsidP="00EF5914">
            <w:pPr>
              <w:rPr>
                <w:sz w:val="22"/>
              </w:rPr>
            </w:pPr>
            <w:r>
              <w:rPr>
                <w:sz w:val="22"/>
              </w:rPr>
              <w:t>Faculty working group on the Workloads model</w:t>
            </w:r>
          </w:p>
        </w:tc>
        <w:tc>
          <w:tcPr>
            <w:tcW w:w="3260" w:type="dxa"/>
            <w:shd w:val="clear" w:color="auto" w:fill="auto"/>
          </w:tcPr>
          <w:p w:rsidR="006F20D6" w:rsidRDefault="00FF5800" w:rsidP="00890DD9">
            <w:pPr>
              <w:rPr>
                <w:sz w:val="22"/>
              </w:rPr>
            </w:pPr>
            <w:r>
              <w:rPr>
                <w:sz w:val="22"/>
              </w:rPr>
              <w:t xml:space="preserve">As above. </w:t>
            </w:r>
            <w:r w:rsidR="00890DD9">
              <w:rPr>
                <w:sz w:val="22"/>
              </w:rPr>
              <w:t xml:space="preserve">We will convey this view in the working group. </w:t>
            </w:r>
          </w:p>
        </w:tc>
      </w:tr>
      <w:tr w:rsidR="006F20D6">
        <w:trPr>
          <w:trHeight w:val="1573"/>
        </w:trPr>
        <w:tc>
          <w:tcPr>
            <w:tcW w:w="623" w:type="dxa"/>
            <w:shd w:val="clear" w:color="auto" w:fill="auto"/>
          </w:tcPr>
          <w:p w:rsidR="006F20D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 xml:space="preserve">They recognize in a period of transition that it may be necessary for a senior academic to take on a significant academic advising role (e.g., as </w:t>
            </w:r>
            <w:r w:rsidRPr="006F20D6">
              <w:rPr>
                <w:i/>
              </w:rPr>
              <w:t>Undergraduate Director</w:t>
            </w:r>
            <w:r w:rsidRPr="006F20D6">
              <w:t xml:space="preserve">). </w:t>
            </w:r>
          </w:p>
          <w:p w:rsidR="006F20D6" w:rsidRPr="006F20D6" w:rsidRDefault="006F20D6" w:rsidP="006F20D6"/>
        </w:tc>
        <w:tc>
          <w:tcPr>
            <w:tcW w:w="1861" w:type="dxa"/>
            <w:shd w:val="clear" w:color="auto" w:fill="auto"/>
          </w:tcPr>
          <w:p w:rsidR="006F20D6" w:rsidRDefault="00B9511A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Dept Executive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Default="00403B02" w:rsidP="0085318F">
            <w:pPr>
              <w:rPr>
                <w:sz w:val="22"/>
              </w:rPr>
            </w:pPr>
            <w:r>
              <w:rPr>
                <w:sz w:val="22"/>
              </w:rPr>
              <w:t xml:space="preserve">The current Head of Department has taken the role as Chair of the Teaching and Learning committee in order to implement some of these recommendations. </w:t>
            </w:r>
            <w:r w:rsidR="00F11972">
              <w:rPr>
                <w:sz w:val="22"/>
              </w:rPr>
              <w:t xml:space="preserve">We do plan to create Undergraduate </w:t>
            </w:r>
            <w:r w:rsidR="0085318F">
              <w:rPr>
                <w:sz w:val="22"/>
              </w:rPr>
              <w:t>Director</w:t>
            </w:r>
            <w:r w:rsidR="00F11972">
              <w:rPr>
                <w:sz w:val="22"/>
              </w:rPr>
              <w:t xml:space="preserve"> positions, and will determine workload implication within the </w:t>
            </w:r>
            <w:r w:rsidR="0085318F">
              <w:rPr>
                <w:sz w:val="22"/>
              </w:rPr>
              <w:t>executive</w:t>
            </w:r>
            <w:r w:rsidR="00F11972">
              <w:rPr>
                <w:sz w:val="22"/>
              </w:rPr>
              <w:t xml:space="preserve"> committee.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they recognize all aspects of academic work and reward people for quality not quantity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EF5914">
            <w:pPr>
              <w:rPr>
                <w:sz w:val="22"/>
              </w:rPr>
            </w:pPr>
            <w:r>
              <w:rPr>
                <w:sz w:val="22"/>
              </w:rPr>
              <w:t>Faculty working group on the Workloads model</w:t>
            </w:r>
          </w:p>
        </w:tc>
        <w:tc>
          <w:tcPr>
            <w:tcW w:w="3260" w:type="dxa"/>
            <w:shd w:val="clear" w:color="auto" w:fill="auto"/>
          </w:tcPr>
          <w:p w:rsidR="006F20D6" w:rsidRDefault="00D74E0D" w:rsidP="003E34E9">
            <w:pPr>
              <w:rPr>
                <w:sz w:val="22"/>
              </w:rPr>
            </w:pPr>
            <w:r>
              <w:rPr>
                <w:sz w:val="22"/>
              </w:rPr>
              <w:t xml:space="preserve">We agree and will convey this sentiment in the workloads working group, but it may be difficult to implement.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EF5914">
            <w:pPr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future recruitment is at ECR level to distribute teaching load better.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EF5914">
            <w:pPr>
              <w:rPr>
                <w:sz w:val="22"/>
              </w:rPr>
            </w:pPr>
            <w:r>
              <w:rPr>
                <w:sz w:val="22"/>
              </w:rPr>
              <w:t xml:space="preserve">Department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Default="001E578B" w:rsidP="00643239">
            <w:pPr>
              <w:rPr>
                <w:sz w:val="22"/>
              </w:rPr>
            </w:pPr>
            <w:r>
              <w:rPr>
                <w:sz w:val="22"/>
              </w:rPr>
              <w:t xml:space="preserve">We have recruited two level B positions in 2011 and </w:t>
            </w:r>
            <w:r w:rsidR="00643239">
              <w:rPr>
                <w:sz w:val="22"/>
              </w:rPr>
              <w:t>will plan</w:t>
            </w:r>
            <w:r>
              <w:rPr>
                <w:sz w:val="22"/>
              </w:rPr>
              <w:t xml:space="preserve"> </w:t>
            </w:r>
            <w:r w:rsidR="00643239">
              <w:rPr>
                <w:sz w:val="22"/>
              </w:rPr>
              <w:t xml:space="preserve">future opportunities at this level </w:t>
            </w:r>
          </w:p>
        </w:tc>
      </w:tr>
      <w:tr w:rsidR="006F20D6">
        <w:tc>
          <w:tcPr>
            <w:tcW w:w="623" w:type="dxa"/>
            <w:shd w:val="clear" w:color="auto" w:fill="BFBFBF" w:themeFill="background1" w:themeFillShade="BF"/>
          </w:tcPr>
          <w:p w:rsidR="006F20D6" w:rsidRDefault="006F20D6" w:rsidP="006F20D6">
            <w:pPr>
              <w:shd w:val="clear" w:color="auto" w:fill="BFBFBF" w:themeFill="background1" w:themeFillShade="BF"/>
              <w:rPr>
                <w:sz w:val="22"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</w:tcPr>
          <w:p w:rsidR="006F20D6" w:rsidRPr="00440248" w:rsidRDefault="006F20D6" w:rsidP="006F20D6">
            <w:pPr>
              <w:shd w:val="clear" w:color="auto" w:fill="BFBFBF" w:themeFill="background1" w:themeFillShade="BF"/>
              <w:rPr>
                <w:b/>
              </w:rPr>
            </w:pPr>
            <w:r w:rsidRPr="00440248">
              <w:rPr>
                <w:b/>
              </w:rPr>
              <w:t>Research</w:t>
            </w:r>
          </w:p>
          <w:p w:rsidR="006F20D6" w:rsidRPr="006F20D6" w:rsidRDefault="006F20D6" w:rsidP="006F20D6">
            <w:pPr>
              <w:shd w:val="clear" w:color="auto" w:fill="BFBFBF" w:themeFill="background1" w:themeFillShade="BF"/>
            </w:pPr>
          </w:p>
        </w:tc>
        <w:tc>
          <w:tcPr>
            <w:tcW w:w="1861" w:type="dxa"/>
            <w:shd w:val="clear" w:color="auto" w:fill="BFBFBF" w:themeFill="background1" w:themeFillShade="BF"/>
          </w:tcPr>
          <w:p w:rsidR="006F20D6" w:rsidRDefault="006F20D6" w:rsidP="006F20D6">
            <w:pPr>
              <w:shd w:val="clear" w:color="auto" w:fill="BFBFBF" w:themeFill="background1" w:themeFillShade="BF"/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6F20D6" w:rsidRDefault="006F20D6" w:rsidP="006F20D6">
            <w:pPr>
              <w:shd w:val="clear" w:color="auto" w:fill="BFBFBF" w:themeFill="background1" w:themeFillShade="BF"/>
              <w:rPr>
                <w:sz w:val="22"/>
              </w:rPr>
            </w:pP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3612" w:type="dxa"/>
            <w:shd w:val="clear" w:color="auto" w:fill="auto"/>
          </w:tcPr>
          <w:p w:rsidR="006F20D6" w:rsidRPr="00440248" w:rsidRDefault="006F20D6" w:rsidP="006F20D6">
            <w:pPr>
              <w:rPr>
                <w:b/>
              </w:rPr>
            </w:pPr>
            <w:r w:rsidRPr="006F20D6">
              <w:t xml:space="preserve">That the Department continue with its development of the Centre in </w:t>
            </w:r>
            <w:r>
              <w:t>Elite Performance Expertise and Training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6F20D6">
            <w:pPr>
              <w:rPr>
                <w:sz w:val="22"/>
              </w:rPr>
            </w:pPr>
            <w:r>
              <w:rPr>
                <w:sz w:val="22"/>
              </w:rPr>
              <w:t>Director of Centre, Associate Dean Research, and Centre members</w:t>
            </w:r>
          </w:p>
        </w:tc>
        <w:tc>
          <w:tcPr>
            <w:tcW w:w="3260" w:type="dxa"/>
            <w:shd w:val="clear" w:color="auto" w:fill="auto"/>
          </w:tcPr>
          <w:p w:rsidR="006F20D6" w:rsidRDefault="00844B73" w:rsidP="006F20D6">
            <w:pPr>
              <w:rPr>
                <w:sz w:val="22"/>
              </w:rPr>
            </w:pPr>
            <w:r>
              <w:rPr>
                <w:sz w:val="22"/>
              </w:rPr>
              <w:t xml:space="preserve">This has been achieved.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 xml:space="preserve">That the Department continue to </w:t>
            </w:r>
            <w:r w:rsidRPr="006F20D6">
              <w:lastRenderedPageBreak/>
              <w:t>support and build upon the successes of the Centre for Emotional Health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6F20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Department </w:t>
            </w:r>
            <w:r>
              <w:rPr>
                <w:sz w:val="22"/>
              </w:rPr>
              <w:lastRenderedPageBreak/>
              <w:t xml:space="preserve">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Default="00E17B00" w:rsidP="00E17B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First, we</w:t>
            </w:r>
            <w:r w:rsidR="00844B73">
              <w:rPr>
                <w:sz w:val="22"/>
              </w:rPr>
              <w:t xml:space="preserve"> have supported the CEH </w:t>
            </w:r>
            <w:r w:rsidR="00844B73">
              <w:rPr>
                <w:sz w:val="22"/>
              </w:rPr>
              <w:lastRenderedPageBreak/>
              <w:t xml:space="preserve">by providing budget for a marketing and administration staff member for 2011. </w:t>
            </w:r>
            <w:r>
              <w:rPr>
                <w:sz w:val="22"/>
              </w:rPr>
              <w:t>Second, we</w:t>
            </w:r>
            <w:r w:rsidR="00844B73">
              <w:rPr>
                <w:sz w:val="22"/>
              </w:rPr>
              <w:t xml:space="preserve"> have supported the recruitment of a CORE staff member (Nick </w:t>
            </w:r>
            <w:proofErr w:type="spellStart"/>
            <w:r w:rsidR="00844B73">
              <w:rPr>
                <w:sz w:val="22"/>
              </w:rPr>
              <w:t>Titov</w:t>
            </w:r>
            <w:proofErr w:type="spellEnd"/>
            <w:r w:rsidR="00844B73">
              <w:rPr>
                <w:sz w:val="22"/>
              </w:rPr>
              <w:t>)</w:t>
            </w:r>
            <w:r>
              <w:rPr>
                <w:sz w:val="22"/>
              </w:rPr>
              <w:t>; Third, we supported their application to be</w:t>
            </w:r>
            <w:r w:rsidR="00665A46">
              <w:rPr>
                <w:sz w:val="22"/>
              </w:rPr>
              <w:t>come</w:t>
            </w:r>
            <w:r>
              <w:rPr>
                <w:sz w:val="22"/>
              </w:rPr>
              <w:t xml:space="preserve"> a National Centre of Excellence.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 Research Higher Degrees Committee continue with its initiatives designed to improve completion rates including a re-assessment of the value of the combined Masters/PhD.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6F20D6">
            <w:pPr>
              <w:rPr>
                <w:sz w:val="22"/>
              </w:rPr>
            </w:pPr>
            <w:r>
              <w:rPr>
                <w:sz w:val="22"/>
              </w:rPr>
              <w:t>HDR committee</w:t>
            </w:r>
          </w:p>
        </w:tc>
        <w:tc>
          <w:tcPr>
            <w:tcW w:w="3260" w:type="dxa"/>
            <w:shd w:val="clear" w:color="auto" w:fill="auto"/>
          </w:tcPr>
          <w:p w:rsidR="006F20D6" w:rsidRDefault="009D2899" w:rsidP="007320D5">
            <w:pPr>
              <w:rPr>
                <w:sz w:val="22"/>
              </w:rPr>
            </w:pPr>
            <w:r>
              <w:rPr>
                <w:sz w:val="22"/>
              </w:rPr>
              <w:t>We have accessed statistics on completion rates</w:t>
            </w:r>
            <w:r w:rsidR="007320D5">
              <w:rPr>
                <w:sz w:val="22"/>
              </w:rPr>
              <w:t xml:space="preserve">. We </w:t>
            </w:r>
            <w:r w:rsidR="00712D50">
              <w:rPr>
                <w:sz w:val="22"/>
              </w:rPr>
              <w:t xml:space="preserve">have flagged the rigour of the combined Masters/PhD program and recommended </w:t>
            </w:r>
            <w:r w:rsidR="00440CC4">
              <w:rPr>
                <w:sz w:val="22"/>
              </w:rPr>
              <w:t xml:space="preserve">to University HDRO </w:t>
            </w:r>
            <w:r w:rsidR="00712D50">
              <w:rPr>
                <w:sz w:val="22"/>
              </w:rPr>
              <w:t>increased allocation of time to complete</w:t>
            </w:r>
            <w:r w:rsidR="00FF5360">
              <w:rPr>
                <w:sz w:val="22"/>
              </w:rPr>
              <w:t xml:space="preserve">. 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 Department/</w:t>
            </w:r>
            <w:r>
              <w:t xml:space="preserve"> </w:t>
            </w:r>
            <w:r w:rsidRPr="006F20D6">
              <w:t>Faculty/</w:t>
            </w:r>
            <w:r>
              <w:t xml:space="preserve"> </w:t>
            </w:r>
            <w:r w:rsidRPr="006F20D6">
              <w:t>University re-examine the issue of the number of students who can supervised by one academic</w:t>
            </w:r>
          </w:p>
        </w:tc>
        <w:tc>
          <w:tcPr>
            <w:tcW w:w="1861" w:type="dxa"/>
            <w:shd w:val="clear" w:color="auto" w:fill="auto"/>
          </w:tcPr>
          <w:p w:rsidR="006F20D6" w:rsidRDefault="00B9511A" w:rsidP="006F20D6">
            <w:pPr>
              <w:rPr>
                <w:sz w:val="22"/>
              </w:rPr>
            </w:pPr>
            <w:r>
              <w:rPr>
                <w:sz w:val="22"/>
              </w:rPr>
              <w:t xml:space="preserve">HDR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Pr="007D0397" w:rsidRDefault="007D0397" w:rsidP="006F20D6">
            <w:pPr>
              <w:rPr>
                <w:sz w:val="22"/>
              </w:rPr>
            </w:pPr>
            <w:r w:rsidRPr="007D0397">
              <w:rPr>
                <w:sz w:val="22"/>
              </w:rPr>
              <w:t>We are currently a</w:t>
            </w:r>
            <w:r w:rsidR="00397022">
              <w:rPr>
                <w:sz w:val="22"/>
              </w:rPr>
              <w:t>ddressing this problem by analys</w:t>
            </w:r>
            <w:r w:rsidRPr="007D0397">
              <w:rPr>
                <w:sz w:val="22"/>
              </w:rPr>
              <w:t>ing the data across psychology and MACCS and by ensuring that all possible academics are on the Macquarie University Supervisor Register (MQSR). The average primary supervisor to student ratio is 1:4, with only 4 academics with a student load greater than a reasonable limit of 8 (in popular programs). This information will also be tabled at Faculty to ensure that appropriate limits are placed on the number of students that are supervised by each academic.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 Department</w:t>
            </w:r>
            <w:r w:rsidR="009C09E1">
              <w:t xml:space="preserve"> </w:t>
            </w:r>
            <w:r w:rsidRPr="006F20D6">
              <w:t>/</w:t>
            </w:r>
            <w:r>
              <w:t xml:space="preserve"> </w:t>
            </w:r>
            <w:r w:rsidRPr="006F20D6">
              <w:t>Faculty</w:t>
            </w:r>
            <w:r w:rsidR="009C09E1">
              <w:t xml:space="preserve"> </w:t>
            </w:r>
            <w:r w:rsidRPr="006F20D6">
              <w:t>University attempt to arrive at a balance between student choice and the needs of the University and broader community when allocating scholarships</w:t>
            </w:r>
          </w:p>
        </w:tc>
        <w:tc>
          <w:tcPr>
            <w:tcW w:w="1861" w:type="dxa"/>
            <w:shd w:val="clear" w:color="auto" w:fill="auto"/>
          </w:tcPr>
          <w:p w:rsidR="006F20D6" w:rsidRDefault="00DD13BD" w:rsidP="006F20D6">
            <w:pPr>
              <w:rPr>
                <w:sz w:val="22"/>
              </w:rPr>
            </w:pPr>
            <w:r>
              <w:rPr>
                <w:sz w:val="22"/>
              </w:rPr>
              <w:t xml:space="preserve">HDR committee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Default="00397022" w:rsidP="006F20D6">
            <w:pPr>
              <w:rPr>
                <w:sz w:val="22"/>
              </w:rPr>
            </w:pPr>
            <w:r>
              <w:rPr>
                <w:sz w:val="22"/>
              </w:rPr>
              <w:t>The University is attempting to streamline ranking procedures for scholarships</w:t>
            </w:r>
            <w:r w:rsidR="00D21C81">
              <w:rPr>
                <w:sz w:val="22"/>
              </w:rPr>
              <w:t>.</w:t>
            </w: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6F20D6" w:rsidP="006F20D6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3612" w:type="dxa"/>
            <w:shd w:val="clear" w:color="auto" w:fill="auto"/>
          </w:tcPr>
          <w:p w:rsidR="006F20D6" w:rsidRPr="006F20D6" w:rsidRDefault="006F20D6" w:rsidP="006F20D6">
            <w:r w:rsidRPr="006F20D6">
              <w:t>That the Department/</w:t>
            </w:r>
            <w:r>
              <w:t xml:space="preserve"> </w:t>
            </w:r>
            <w:r w:rsidR="00D21C81">
              <w:t xml:space="preserve">Faculty </w:t>
            </w:r>
            <w:r w:rsidRPr="006F20D6">
              <w:t>University recognize that all good research is not nor can be located within Centres and that where excellence exists it should be supported and rewarded</w:t>
            </w:r>
          </w:p>
        </w:tc>
        <w:tc>
          <w:tcPr>
            <w:tcW w:w="1861" w:type="dxa"/>
            <w:shd w:val="clear" w:color="auto" w:fill="auto"/>
          </w:tcPr>
          <w:p w:rsidR="006F20D6" w:rsidRDefault="00DD13BD" w:rsidP="006F20D6">
            <w:pPr>
              <w:rPr>
                <w:sz w:val="22"/>
              </w:rPr>
            </w:pPr>
            <w:r>
              <w:rPr>
                <w:sz w:val="22"/>
              </w:rPr>
              <w:t xml:space="preserve">Departmental executive and </w:t>
            </w:r>
            <w:proofErr w:type="spellStart"/>
            <w:r>
              <w:rPr>
                <w:sz w:val="22"/>
              </w:rPr>
              <w:t>HoD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F20D6" w:rsidRDefault="00E608E4" w:rsidP="00886858">
            <w:pPr>
              <w:rPr>
                <w:sz w:val="22"/>
              </w:rPr>
            </w:pPr>
            <w:r>
              <w:rPr>
                <w:sz w:val="22"/>
              </w:rPr>
              <w:t>Opportunities for research support and rewards are equitable across all staff members</w:t>
            </w:r>
            <w:r w:rsidR="007821E9">
              <w:rPr>
                <w:sz w:val="22"/>
              </w:rPr>
              <w:t xml:space="preserve"> and do not favour centre members</w:t>
            </w:r>
            <w:r w:rsidR="00886858">
              <w:rPr>
                <w:sz w:val="22"/>
              </w:rPr>
              <w:t xml:space="preserve">. We do </w:t>
            </w:r>
            <w:r w:rsidR="00A7598E">
              <w:rPr>
                <w:sz w:val="22"/>
              </w:rPr>
              <w:t xml:space="preserve">encourage </w:t>
            </w:r>
            <w:r w:rsidR="009B54E2">
              <w:rPr>
                <w:sz w:val="22"/>
              </w:rPr>
              <w:t>collaborative grouping</w:t>
            </w:r>
            <w:r w:rsidR="00541E20">
              <w:rPr>
                <w:sz w:val="22"/>
              </w:rPr>
              <w:t xml:space="preserve">s and the formation of research centres. </w:t>
            </w:r>
            <w:r w:rsidR="009B54E2">
              <w:rPr>
                <w:sz w:val="22"/>
              </w:rPr>
              <w:t xml:space="preserve"> </w:t>
            </w:r>
          </w:p>
        </w:tc>
      </w:tr>
      <w:tr w:rsidR="006F20D6">
        <w:tc>
          <w:tcPr>
            <w:tcW w:w="623" w:type="dxa"/>
            <w:shd w:val="clear" w:color="auto" w:fill="BFBFBF" w:themeFill="background1" w:themeFillShade="BF"/>
          </w:tcPr>
          <w:p w:rsidR="006F20D6" w:rsidRDefault="006F20D6" w:rsidP="006F20D6">
            <w:pPr>
              <w:rPr>
                <w:sz w:val="22"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</w:tcPr>
          <w:p w:rsidR="006F20D6" w:rsidRPr="006F20D6" w:rsidRDefault="006F20D6" w:rsidP="006F20D6">
            <w:r w:rsidRPr="00851FE3">
              <w:rPr>
                <w:b/>
              </w:rPr>
              <w:t>Space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6F20D6" w:rsidRDefault="006F20D6" w:rsidP="006F20D6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6F20D6" w:rsidRDefault="006F20D6" w:rsidP="006F20D6">
            <w:pPr>
              <w:rPr>
                <w:sz w:val="22"/>
              </w:rPr>
            </w:pPr>
          </w:p>
        </w:tc>
      </w:tr>
      <w:tr w:rsidR="006F20D6">
        <w:tc>
          <w:tcPr>
            <w:tcW w:w="623" w:type="dxa"/>
            <w:shd w:val="clear" w:color="auto" w:fill="auto"/>
          </w:tcPr>
          <w:p w:rsidR="006F20D6" w:rsidRDefault="009B0634" w:rsidP="006F20D6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3612" w:type="dxa"/>
            <w:shd w:val="clear" w:color="auto" w:fill="auto"/>
          </w:tcPr>
          <w:p w:rsidR="006F20D6" w:rsidRPr="00D60F1A" w:rsidRDefault="006F20D6" w:rsidP="006F20D6">
            <w:r w:rsidRPr="006F20D6">
              <w:t>That the Faculty/University provide research space to be shared by members of staff of the Department of Psychology who are not in Centres or who do not require dedicated laboratory space</w:t>
            </w:r>
          </w:p>
        </w:tc>
        <w:tc>
          <w:tcPr>
            <w:tcW w:w="1861" w:type="dxa"/>
            <w:shd w:val="clear" w:color="auto" w:fill="auto"/>
          </w:tcPr>
          <w:p w:rsidR="006F20D6" w:rsidRDefault="009619C1" w:rsidP="006F20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HoD</w:t>
            </w:r>
            <w:proofErr w:type="spellEnd"/>
            <w:r>
              <w:rPr>
                <w:sz w:val="22"/>
              </w:rPr>
              <w:t xml:space="preserve"> and </w:t>
            </w:r>
            <w:r w:rsidR="008A005D">
              <w:rPr>
                <w:sz w:val="22"/>
              </w:rPr>
              <w:t>Faculty space planning committee</w:t>
            </w:r>
          </w:p>
        </w:tc>
        <w:tc>
          <w:tcPr>
            <w:tcW w:w="3260" w:type="dxa"/>
            <w:shd w:val="clear" w:color="auto" w:fill="auto"/>
          </w:tcPr>
          <w:p w:rsidR="006F20D6" w:rsidRDefault="00D60F1A" w:rsidP="00290A7E">
            <w:pPr>
              <w:rPr>
                <w:sz w:val="22"/>
              </w:rPr>
            </w:pPr>
            <w:r>
              <w:rPr>
                <w:sz w:val="22"/>
              </w:rPr>
              <w:t xml:space="preserve">There are plans to relocate Psychology and its research space, and </w:t>
            </w:r>
            <w:r w:rsidR="00290A7E">
              <w:rPr>
                <w:sz w:val="22"/>
              </w:rPr>
              <w:t>we will be advocating for allocation of</w:t>
            </w:r>
            <w:r>
              <w:rPr>
                <w:sz w:val="22"/>
              </w:rPr>
              <w:t xml:space="preserve"> sh</w:t>
            </w:r>
            <w:r w:rsidR="00290A7E">
              <w:rPr>
                <w:sz w:val="22"/>
              </w:rPr>
              <w:t xml:space="preserve">ared / bookable research space, </w:t>
            </w:r>
            <w:r>
              <w:rPr>
                <w:sz w:val="22"/>
              </w:rPr>
              <w:t xml:space="preserve">in addition to dedicated space for researchers with heavy </w:t>
            </w:r>
            <w:r w:rsidR="00290A7E">
              <w:rPr>
                <w:sz w:val="22"/>
              </w:rPr>
              <w:t xml:space="preserve">/ regular </w:t>
            </w:r>
            <w:r>
              <w:rPr>
                <w:sz w:val="22"/>
              </w:rPr>
              <w:t>lab-space needs</w:t>
            </w:r>
          </w:p>
        </w:tc>
      </w:tr>
      <w:tr w:rsidR="009B0634">
        <w:tc>
          <w:tcPr>
            <w:tcW w:w="623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3612" w:type="dxa"/>
            <w:shd w:val="clear" w:color="auto" w:fill="auto"/>
          </w:tcPr>
          <w:p w:rsidR="009B0634" w:rsidRPr="009B0634" w:rsidRDefault="009B0634" w:rsidP="009B0634">
            <w:r w:rsidRPr="009B0634">
              <w:t xml:space="preserve">The Faculty/University recognize </w:t>
            </w:r>
            <w:r w:rsidRPr="009B0634">
              <w:lastRenderedPageBreak/>
              <w:t>that where research involves members of the public, the space must be of adequate standard.  Likewise, it needs to consider allocating a parking space close to a Centre, e.g., the Centre for Emotional Health, to ensure that the experience of visiting Macquarie is a positive one</w:t>
            </w:r>
          </w:p>
          <w:p w:rsidR="009B0634" w:rsidRPr="006F20D6" w:rsidRDefault="009B0634" w:rsidP="006F20D6"/>
        </w:tc>
        <w:tc>
          <w:tcPr>
            <w:tcW w:w="1861" w:type="dxa"/>
            <w:shd w:val="clear" w:color="auto" w:fill="auto"/>
          </w:tcPr>
          <w:p w:rsidR="009B0634" w:rsidRDefault="00F67485" w:rsidP="006F20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HoD</w:t>
            </w:r>
            <w:proofErr w:type="spellEnd"/>
            <w:r>
              <w:rPr>
                <w:sz w:val="22"/>
              </w:rPr>
              <w:t xml:space="preserve"> in </w:t>
            </w:r>
            <w:r>
              <w:rPr>
                <w:sz w:val="22"/>
              </w:rPr>
              <w:lastRenderedPageBreak/>
              <w:t xml:space="preserve">consultation with the </w:t>
            </w:r>
            <w:r w:rsidR="008A005D">
              <w:rPr>
                <w:sz w:val="22"/>
              </w:rPr>
              <w:t>Faculty space planning committee</w:t>
            </w:r>
            <w:r w:rsidR="006D3595">
              <w:rPr>
                <w:sz w:val="22"/>
              </w:rPr>
              <w:t xml:space="preserve"> &amp; </w:t>
            </w:r>
            <w:r w:rsidR="00E04C93">
              <w:rPr>
                <w:sz w:val="22"/>
              </w:rPr>
              <w:t xml:space="preserve">the </w:t>
            </w:r>
            <w:r w:rsidR="006D3595">
              <w:rPr>
                <w:sz w:val="22"/>
              </w:rPr>
              <w:t>DVC Research</w:t>
            </w:r>
          </w:p>
        </w:tc>
        <w:tc>
          <w:tcPr>
            <w:tcW w:w="3260" w:type="dxa"/>
            <w:shd w:val="clear" w:color="auto" w:fill="auto"/>
          </w:tcPr>
          <w:p w:rsidR="009B0634" w:rsidRDefault="00290A7E" w:rsidP="006F20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There are plans to relocate </w:t>
            </w:r>
            <w:r>
              <w:rPr>
                <w:sz w:val="22"/>
              </w:rPr>
              <w:lastRenderedPageBreak/>
              <w:t>Psychology and its research space,</w:t>
            </w:r>
            <w:r w:rsidR="00B136E7">
              <w:rPr>
                <w:sz w:val="22"/>
              </w:rPr>
              <w:t xml:space="preserve"> motivated partly to address the low standards of research space currently allocated to Psychology. </w:t>
            </w:r>
            <w:r w:rsidR="000D08B8">
              <w:rPr>
                <w:sz w:val="22"/>
              </w:rPr>
              <w:t>The Rod Power Clinic and the CEH are being located to the Hearing Hub where visitor parking has been allocated.</w:t>
            </w:r>
          </w:p>
        </w:tc>
      </w:tr>
      <w:tr w:rsidR="009B0634">
        <w:tc>
          <w:tcPr>
            <w:tcW w:w="623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</w:t>
            </w:r>
          </w:p>
        </w:tc>
        <w:tc>
          <w:tcPr>
            <w:tcW w:w="3612" w:type="dxa"/>
            <w:shd w:val="clear" w:color="auto" w:fill="auto"/>
          </w:tcPr>
          <w:p w:rsidR="009B0634" w:rsidRPr="009B0634" w:rsidRDefault="009B0634" w:rsidP="009B0634">
            <w:r w:rsidRPr="009B0634">
              <w:t>All professional programs within the University should be accorded space that is fit for purpose.  Thus, all of the postgraduate programs in Psychology should be provided with access to a large room with adjoining break-out rooms.</w:t>
            </w:r>
          </w:p>
          <w:p w:rsidR="009B0634" w:rsidRPr="009B0634" w:rsidRDefault="009B0634" w:rsidP="009B0634"/>
        </w:tc>
        <w:tc>
          <w:tcPr>
            <w:tcW w:w="1861" w:type="dxa"/>
            <w:shd w:val="clear" w:color="auto" w:fill="auto"/>
          </w:tcPr>
          <w:p w:rsidR="009B0634" w:rsidRDefault="008A005D" w:rsidP="006F20D6">
            <w:pPr>
              <w:rPr>
                <w:sz w:val="22"/>
              </w:rPr>
            </w:pPr>
            <w:r>
              <w:rPr>
                <w:sz w:val="22"/>
              </w:rPr>
              <w:t>Faculty space planning committee</w:t>
            </w:r>
            <w:r w:rsidR="009619C1">
              <w:rPr>
                <w:sz w:val="22"/>
              </w:rPr>
              <w:t xml:space="preserve"> &amp; time-tabling project</w:t>
            </w:r>
          </w:p>
        </w:tc>
        <w:tc>
          <w:tcPr>
            <w:tcW w:w="3260" w:type="dxa"/>
            <w:shd w:val="clear" w:color="auto" w:fill="auto"/>
          </w:tcPr>
          <w:p w:rsidR="009B0634" w:rsidRDefault="006D6681" w:rsidP="00997F37">
            <w:pPr>
              <w:rPr>
                <w:sz w:val="22"/>
              </w:rPr>
            </w:pPr>
            <w:r>
              <w:rPr>
                <w:sz w:val="22"/>
              </w:rPr>
              <w:t xml:space="preserve">As part of the University drive for innovative teaching spaces, a room (C5C Forum) </w:t>
            </w:r>
            <w:r w:rsidR="00997F37">
              <w:rPr>
                <w:sz w:val="22"/>
              </w:rPr>
              <w:t>was</w:t>
            </w:r>
            <w:r>
              <w:rPr>
                <w:sz w:val="22"/>
              </w:rPr>
              <w:t xml:space="preserve"> built </w:t>
            </w:r>
            <w:r w:rsidR="00655D64">
              <w:rPr>
                <w:sz w:val="22"/>
              </w:rPr>
              <w:t xml:space="preserve">and </w:t>
            </w:r>
            <w:r w:rsidR="00997F37">
              <w:rPr>
                <w:sz w:val="22"/>
              </w:rPr>
              <w:t>can</w:t>
            </w:r>
            <w:r w:rsidR="00655D64">
              <w:rPr>
                <w:sz w:val="22"/>
              </w:rPr>
              <w:t xml:space="preserve"> accommodate small</w:t>
            </w:r>
            <w:r w:rsidR="00997F37">
              <w:rPr>
                <w:sz w:val="22"/>
              </w:rPr>
              <w:t>er</w:t>
            </w:r>
            <w:r w:rsidR="00655D64">
              <w:rPr>
                <w:sz w:val="22"/>
              </w:rPr>
              <w:t>-group work</w:t>
            </w:r>
            <w:r w:rsidR="00997F37">
              <w:rPr>
                <w:sz w:val="22"/>
              </w:rPr>
              <w:t xml:space="preserve"> within the room</w:t>
            </w:r>
            <w:r w:rsidR="00655D64">
              <w:rPr>
                <w:sz w:val="22"/>
              </w:rPr>
              <w:t xml:space="preserve">. We don’t comply with requirements for booking the C5C Forum (min of 90 students) so will need new teaching space. Requests for this type of space have been </w:t>
            </w:r>
            <w:r w:rsidR="00997F37">
              <w:rPr>
                <w:sz w:val="22"/>
              </w:rPr>
              <w:t xml:space="preserve">made </w:t>
            </w:r>
            <w:r w:rsidR="00655D64">
              <w:rPr>
                <w:sz w:val="22"/>
              </w:rPr>
              <w:t xml:space="preserve">repeatedly. </w:t>
            </w:r>
            <w:r w:rsidR="002871EB">
              <w:rPr>
                <w:sz w:val="22"/>
              </w:rPr>
              <w:t xml:space="preserve">The need for </w:t>
            </w:r>
            <w:r w:rsidR="00EC366C">
              <w:rPr>
                <w:sz w:val="22"/>
              </w:rPr>
              <w:t xml:space="preserve">teaching </w:t>
            </w:r>
            <w:r w:rsidR="002871EB">
              <w:rPr>
                <w:sz w:val="22"/>
              </w:rPr>
              <w:t xml:space="preserve">rooms with </w:t>
            </w:r>
            <w:r w:rsidR="00EC366C">
              <w:rPr>
                <w:sz w:val="22"/>
              </w:rPr>
              <w:t xml:space="preserve">smaller </w:t>
            </w:r>
            <w:r w:rsidR="002871EB">
              <w:rPr>
                <w:sz w:val="22"/>
              </w:rPr>
              <w:t xml:space="preserve">break-out </w:t>
            </w:r>
            <w:r w:rsidR="00EC366C">
              <w:rPr>
                <w:sz w:val="22"/>
              </w:rPr>
              <w:t>rooms</w:t>
            </w:r>
            <w:r w:rsidR="002871EB">
              <w:rPr>
                <w:sz w:val="22"/>
              </w:rPr>
              <w:t xml:space="preserve"> </w:t>
            </w:r>
            <w:r w:rsidR="00997F37">
              <w:rPr>
                <w:sz w:val="22"/>
              </w:rPr>
              <w:t>is high-priority</w:t>
            </w:r>
            <w:r w:rsidR="002871EB">
              <w:rPr>
                <w:sz w:val="22"/>
              </w:rPr>
              <w:t>.</w:t>
            </w:r>
          </w:p>
        </w:tc>
      </w:tr>
      <w:tr w:rsidR="009B0634">
        <w:tc>
          <w:tcPr>
            <w:tcW w:w="623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612" w:type="dxa"/>
            <w:shd w:val="clear" w:color="auto" w:fill="auto"/>
          </w:tcPr>
          <w:p w:rsidR="009B0634" w:rsidRPr="009B0634" w:rsidRDefault="009B0634" w:rsidP="009B0634">
            <w:r w:rsidRPr="009B0634">
              <w:t xml:space="preserve">That the Faculty/University recognise that the inadequate space has impacted the University strategy of </w:t>
            </w:r>
            <w:proofErr w:type="spellStart"/>
            <w:r w:rsidRPr="009B0634">
              <w:t>CoRE</w:t>
            </w:r>
            <w:proofErr w:type="spellEnd"/>
            <w:r w:rsidRPr="009B0634">
              <w:t xml:space="preserve"> recruitment, resulting in the loss of potential high calibre researchers to MQ.</w:t>
            </w:r>
          </w:p>
          <w:p w:rsidR="009B0634" w:rsidRPr="009B0634" w:rsidRDefault="009B0634" w:rsidP="009B0634"/>
        </w:tc>
        <w:tc>
          <w:tcPr>
            <w:tcW w:w="1861" w:type="dxa"/>
            <w:shd w:val="clear" w:color="auto" w:fill="auto"/>
          </w:tcPr>
          <w:p w:rsidR="009B0634" w:rsidRDefault="009F0F69" w:rsidP="006F20D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HoD</w:t>
            </w:r>
            <w:proofErr w:type="spellEnd"/>
            <w:r>
              <w:rPr>
                <w:sz w:val="22"/>
              </w:rPr>
              <w:t xml:space="preserve"> in consultation with the Faculty space planning committee &amp; the DVC Research</w:t>
            </w:r>
          </w:p>
        </w:tc>
        <w:tc>
          <w:tcPr>
            <w:tcW w:w="3260" w:type="dxa"/>
            <w:shd w:val="clear" w:color="auto" w:fill="auto"/>
          </w:tcPr>
          <w:p w:rsidR="009B0634" w:rsidRDefault="008446CF" w:rsidP="00BE2B77">
            <w:pPr>
              <w:rPr>
                <w:sz w:val="22"/>
              </w:rPr>
            </w:pPr>
            <w:r>
              <w:rPr>
                <w:sz w:val="22"/>
              </w:rPr>
              <w:t xml:space="preserve">The Faculty is aware that poor research space has affected recruitment of outstanding international new staff members and plans are in place to relocate Psychology and </w:t>
            </w:r>
            <w:r w:rsidR="00BE2B77">
              <w:rPr>
                <w:sz w:val="22"/>
              </w:rPr>
              <w:t>enhance its</w:t>
            </w:r>
            <w:r>
              <w:rPr>
                <w:sz w:val="22"/>
              </w:rPr>
              <w:t xml:space="preserve"> research space</w:t>
            </w:r>
          </w:p>
        </w:tc>
      </w:tr>
      <w:tr w:rsidR="009B0634">
        <w:tc>
          <w:tcPr>
            <w:tcW w:w="623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9B0634" w:rsidRPr="009B0634" w:rsidRDefault="009B0634" w:rsidP="009B0634"/>
        </w:tc>
        <w:tc>
          <w:tcPr>
            <w:tcW w:w="1861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B0634" w:rsidRDefault="009B0634" w:rsidP="006F20D6">
            <w:pPr>
              <w:rPr>
                <w:sz w:val="22"/>
              </w:rPr>
            </w:pPr>
          </w:p>
        </w:tc>
      </w:tr>
    </w:tbl>
    <w:p w:rsidR="00DA65BE" w:rsidRDefault="00DA65BE" w:rsidP="006F20D6"/>
    <w:sectPr w:rsidR="00DA65BE" w:rsidSect="00DA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215"/>
    <w:multiLevelType w:val="hybridMultilevel"/>
    <w:tmpl w:val="B40E12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A61D1"/>
    <w:multiLevelType w:val="hybridMultilevel"/>
    <w:tmpl w:val="1ECE1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7A1"/>
    <w:multiLevelType w:val="hybridMultilevel"/>
    <w:tmpl w:val="C734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21D6"/>
    <w:multiLevelType w:val="hybridMultilevel"/>
    <w:tmpl w:val="87F42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1AB0"/>
    <w:multiLevelType w:val="hybridMultilevel"/>
    <w:tmpl w:val="08945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3E5"/>
    <w:multiLevelType w:val="hybridMultilevel"/>
    <w:tmpl w:val="1ECE1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7"/>
    <w:rsid w:val="00075052"/>
    <w:rsid w:val="000D08B8"/>
    <w:rsid w:val="000D6681"/>
    <w:rsid w:val="001704D3"/>
    <w:rsid w:val="001D1B08"/>
    <w:rsid w:val="001E578B"/>
    <w:rsid w:val="001F3659"/>
    <w:rsid w:val="0020468B"/>
    <w:rsid w:val="00282A92"/>
    <w:rsid w:val="002871EB"/>
    <w:rsid w:val="00290A7E"/>
    <w:rsid w:val="002B268E"/>
    <w:rsid w:val="002B5C3B"/>
    <w:rsid w:val="002B6897"/>
    <w:rsid w:val="002D2E97"/>
    <w:rsid w:val="002E0AA2"/>
    <w:rsid w:val="00394447"/>
    <w:rsid w:val="00397022"/>
    <w:rsid w:val="003C5243"/>
    <w:rsid w:val="003E34E9"/>
    <w:rsid w:val="00403B02"/>
    <w:rsid w:val="00440CC4"/>
    <w:rsid w:val="00451457"/>
    <w:rsid w:val="00471950"/>
    <w:rsid w:val="004873B5"/>
    <w:rsid w:val="00495BCE"/>
    <w:rsid w:val="00496BDD"/>
    <w:rsid w:val="004A72BC"/>
    <w:rsid w:val="004B7A1C"/>
    <w:rsid w:val="00506BD4"/>
    <w:rsid w:val="00541E20"/>
    <w:rsid w:val="00597AEC"/>
    <w:rsid w:val="005A1F24"/>
    <w:rsid w:val="005E1CAC"/>
    <w:rsid w:val="00643239"/>
    <w:rsid w:val="00655D64"/>
    <w:rsid w:val="00665A46"/>
    <w:rsid w:val="00691050"/>
    <w:rsid w:val="006D3595"/>
    <w:rsid w:val="006D6681"/>
    <w:rsid w:val="006E2E0B"/>
    <w:rsid w:val="006E37C1"/>
    <w:rsid w:val="006E5156"/>
    <w:rsid w:val="006F20D6"/>
    <w:rsid w:val="00712D50"/>
    <w:rsid w:val="007320D5"/>
    <w:rsid w:val="007821E9"/>
    <w:rsid w:val="00790BD5"/>
    <w:rsid w:val="00791489"/>
    <w:rsid w:val="007D0397"/>
    <w:rsid w:val="008446CF"/>
    <w:rsid w:val="00844B73"/>
    <w:rsid w:val="0085318F"/>
    <w:rsid w:val="00886858"/>
    <w:rsid w:val="00890DD9"/>
    <w:rsid w:val="008A005D"/>
    <w:rsid w:val="008D06D9"/>
    <w:rsid w:val="009375E2"/>
    <w:rsid w:val="009619C1"/>
    <w:rsid w:val="00982092"/>
    <w:rsid w:val="00997F37"/>
    <w:rsid w:val="009A631A"/>
    <w:rsid w:val="009B0634"/>
    <w:rsid w:val="009B54E2"/>
    <w:rsid w:val="009C09E1"/>
    <w:rsid w:val="009C5C12"/>
    <w:rsid w:val="009D2899"/>
    <w:rsid w:val="009D4A66"/>
    <w:rsid w:val="009E28BA"/>
    <w:rsid w:val="009E33EC"/>
    <w:rsid w:val="009F0F69"/>
    <w:rsid w:val="00A60F94"/>
    <w:rsid w:val="00A7598E"/>
    <w:rsid w:val="00A779EE"/>
    <w:rsid w:val="00A92007"/>
    <w:rsid w:val="00AD64D0"/>
    <w:rsid w:val="00AE1381"/>
    <w:rsid w:val="00B136E7"/>
    <w:rsid w:val="00B56F8F"/>
    <w:rsid w:val="00B62D08"/>
    <w:rsid w:val="00B9511A"/>
    <w:rsid w:val="00BE2B77"/>
    <w:rsid w:val="00BE4372"/>
    <w:rsid w:val="00C1011C"/>
    <w:rsid w:val="00C2522D"/>
    <w:rsid w:val="00C61F19"/>
    <w:rsid w:val="00CD046C"/>
    <w:rsid w:val="00D16778"/>
    <w:rsid w:val="00D21C81"/>
    <w:rsid w:val="00D328A2"/>
    <w:rsid w:val="00D32D13"/>
    <w:rsid w:val="00D43B8C"/>
    <w:rsid w:val="00D60F1A"/>
    <w:rsid w:val="00D74E0D"/>
    <w:rsid w:val="00D806F6"/>
    <w:rsid w:val="00DA65BE"/>
    <w:rsid w:val="00DD13BD"/>
    <w:rsid w:val="00DE0AF3"/>
    <w:rsid w:val="00DF381E"/>
    <w:rsid w:val="00DF58F6"/>
    <w:rsid w:val="00E04C93"/>
    <w:rsid w:val="00E17B00"/>
    <w:rsid w:val="00E31706"/>
    <w:rsid w:val="00E332AE"/>
    <w:rsid w:val="00E608E4"/>
    <w:rsid w:val="00E74C73"/>
    <w:rsid w:val="00E765B7"/>
    <w:rsid w:val="00E8498A"/>
    <w:rsid w:val="00EC366C"/>
    <w:rsid w:val="00EF5914"/>
    <w:rsid w:val="00F11972"/>
    <w:rsid w:val="00F14D5D"/>
    <w:rsid w:val="00F6517D"/>
    <w:rsid w:val="00F67485"/>
    <w:rsid w:val="00FF5360"/>
    <w:rsid w:val="00FF5800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39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4447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ListParagraph">
    <w:name w:val="List Paragraph"/>
    <w:basedOn w:val="Normal"/>
    <w:uiPriority w:val="34"/>
    <w:qFormat/>
    <w:rsid w:val="00394447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39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4447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ListParagraph">
    <w:name w:val="List Paragraph"/>
    <w:basedOn w:val="Normal"/>
    <w:uiPriority w:val="34"/>
    <w:qFormat/>
    <w:rsid w:val="00394447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12374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 Family</dc:creator>
  <cp:lastModifiedBy>Windows User</cp:lastModifiedBy>
  <cp:revision>2</cp:revision>
  <cp:lastPrinted>2011-06-01T03:21:00Z</cp:lastPrinted>
  <dcterms:created xsi:type="dcterms:W3CDTF">2011-07-13T23:53:00Z</dcterms:created>
  <dcterms:modified xsi:type="dcterms:W3CDTF">2011-07-13T23:53:00Z</dcterms:modified>
</cp:coreProperties>
</file>