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F6" w:rsidRDefault="00916747" w:rsidP="0091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7D5">
        <w:rPr>
          <w:rFonts w:ascii="Times New Roman" w:hAnsi="Times New Roman" w:cs="Times New Roman"/>
          <w:b/>
          <w:sz w:val="24"/>
          <w:szCs w:val="24"/>
          <w:u w:val="single"/>
        </w:rPr>
        <w:t>DRAFT</w:t>
      </w:r>
    </w:p>
    <w:p w:rsidR="00916747" w:rsidRPr="00665AF6" w:rsidRDefault="00916747" w:rsidP="0091674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5AF6">
        <w:rPr>
          <w:rFonts w:ascii="Times New Roman" w:hAnsi="Times New Roman" w:cs="Times New Roman"/>
          <w:b/>
          <w:smallCaps/>
          <w:sz w:val="24"/>
          <w:szCs w:val="24"/>
        </w:rPr>
        <w:t>Review of Department of Ancient History:</w:t>
      </w:r>
    </w:p>
    <w:p w:rsidR="00916747" w:rsidRDefault="00916747" w:rsidP="00BA7AC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5AF6">
        <w:rPr>
          <w:rFonts w:ascii="Times New Roman" w:hAnsi="Times New Roman" w:cs="Times New Roman"/>
          <w:b/>
          <w:smallCaps/>
          <w:sz w:val="24"/>
          <w:szCs w:val="24"/>
        </w:rPr>
        <w:t>Background, Purpose, T</w:t>
      </w:r>
      <w:r w:rsidR="00BA7AC9">
        <w:rPr>
          <w:rFonts w:ascii="Times New Roman" w:hAnsi="Times New Roman" w:cs="Times New Roman"/>
          <w:b/>
          <w:smallCaps/>
          <w:sz w:val="24"/>
          <w:szCs w:val="24"/>
        </w:rPr>
        <w:t>erms of Reference</w:t>
      </w:r>
    </w:p>
    <w:p w:rsidR="00E22AAD" w:rsidRPr="00E22AAD" w:rsidRDefault="00E22AAD" w:rsidP="00BA7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AD">
        <w:rPr>
          <w:rFonts w:ascii="Times New Roman" w:hAnsi="Times New Roman" w:cs="Times New Roman"/>
          <w:b/>
          <w:sz w:val="24"/>
          <w:szCs w:val="24"/>
        </w:rPr>
        <w:t>12-14 September, 2011</w:t>
      </w:r>
    </w:p>
    <w:p w:rsidR="00BA7AC9" w:rsidRDefault="00BA7AC9" w:rsidP="00BA7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Ancient History comprises multiple academic disciplines: Egyptology and Coptic studies, Greek and Roman history and archaeology, early Christianity and Jewish studies, Late Antique through Byzantine/Medieval history, ancient China and central Asian studies, and ancient language studies.  It is one of the few academic </w:t>
      </w:r>
      <w:r w:rsidRPr="004477F2">
        <w:rPr>
          <w:rFonts w:ascii="Times New Roman" w:hAnsi="Times New Roman" w:cs="Times New Roman"/>
          <w:sz w:val="24"/>
          <w:szCs w:val="24"/>
        </w:rPr>
        <w:t>bodies that</w:t>
      </w:r>
      <w:r w:rsidR="00665AF6">
        <w:rPr>
          <w:rFonts w:ascii="Times New Roman" w:hAnsi="Times New Roman" w:cs="Times New Roman"/>
          <w:sz w:val="24"/>
          <w:szCs w:val="24"/>
        </w:rPr>
        <w:t xml:space="preserve"> combines this range of ancient-</w:t>
      </w:r>
      <w:r w:rsidRPr="004477F2">
        <w:rPr>
          <w:rFonts w:ascii="Times New Roman" w:hAnsi="Times New Roman" w:cs="Times New Roman"/>
          <w:sz w:val="24"/>
          <w:szCs w:val="24"/>
        </w:rPr>
        <w:t xml:space="preserve">studies disciplines into </w:t>
      </w:r>
      <w:r w:rsidR="00665AF6">
        <w:rPr>
          <w:rFonts w:ascii="Times New Roman" w:hAnsi="Times New Roman" w:cs="Times New Roman"/>
          <w:sz w:val="24"/>
          <w:szCs w:val="24"/>
        </w:rPr>
        <w:t>an</w:t>
      </w:r>
      <w:r w:rsidRPr="004477F2">
        <w:rPr>
          <w:rFonts w:ascii="Times New Roman" w:hAnsi="Times New Roman" w:cs="Times New Roman"/>
          <w:sz w:val="24"/>
          <w:szCs w:val="24"/>
        </w:rPr>
        <w:t xml:space="preserve"> integrated academic program.</w:t>
      </w:r>
      <w:r w:rsidR="00665AF6">
        <w:rPr>
          <w:rFonts w:ascii="Times New Roman" w:hAnsi="Times New Roman" w:cs="Times New Roman"/>
          <w:sz w:val="24"/>
          <w:szCs w:val="24"/>
        </w:rPr>
        <w:t xml:space="preserve">  </w:t>
      </w:r>
      <w:r w:rsidRPr="004477F2">
        <w:rPr>
          <w:rFonts w:ascii="Times New Roman" w:hAnsi="Times New Roman" w:cs="Times New Roman"/>
          <w:sz w:val="24"/>
          <w:szCs w:val="24"/>
        </w:rPr>
        <w:t xml:space="preserve">All these fields have extensive research, HDR, and undergraduate and postgraduate </w:t>
      </w:r>
      <w:r w:rsidR="00665AF6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4477F2">
        <w:rPr>
          <w:rFonts w:ascii="Times New Roman" w:hAnsi="Times New Roman" w:cs="Times New Roman"/>
          <w:sz w:val="24"/>
          <w:szCs w:val="24"/>
        </w:rPr>
        <w:t>programs, and most have significant community outreach programs.  The Department</w:t>
      </w:r>
      <w:r>
        <w:rPr>
          <w:rFonts w:ascii="Times New Roman" w:hAnsi="Times New Roman" w:cs="Times New Roman"/>
          <w:sz w:val="24"/>
          <w:szCs w:val="24"/>
        </w:rPr>
        <w:t xml:space="preserve"> is home to the Macquarie University Ancient Cultures Research Centre and the Australian Centre for Ancient Numismatic </w:t>
      </w:r>
      <w:r w:rsidR="00B9309A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>, as well as the Museum of Ancient Cultures.</w:t>
      </w: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47" w:rsidRDefault="00916747" w:rsidP="0091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C2CD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review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Pr="005D478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range of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management, resourcing, and quality enhancement issues relating to research, HDR, academic, and outreach programs.</w:t>
      </w: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of Reference</w:t>
      </w:r>
    </w:p>
    <w:p w:rsidR="00916747" w:rsidRDefault="00916747" w:rsidP="0091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Governance, Leadership and Management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 xml:space="preserve">Review the effectiveness of </w:t>
      </w:r>
      <w:r>
        <w:rPr>
          <w:rFonts w:ascii="Times New Roman" w:hAnsi="Times New Roman" w:cs="Times New Roman"/>
          <w:sz w:val="24"/>
          <w:szCs w:val="24"/>
        </w:rPr>
        <w:t>the Department</w:t>
      </w:r>
      <w:r w:rsidRPr="00080B11">
        <w:rPr>
          <w:rFonts w:ascii="Times New Roman" w:eastAsia="Calibri" w:hAnsi="Times New Roman" w:cs="Times New Roman"/>
          <w:sz w:val="24"/>
          <w:szCs w:val="24"/>
        </w:rPr>
        <w:t xml:space="preserve"> planning, leadership and management structure, processes and resources in responding to Faculty and University strategic planning directions.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Academic Program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 xml:space="preserve">Review the appropriateness of the degrees, programs, and units offered by </w:t>
      </w:r>
      <w:r>
        <w:rPr>
          <w:rFonts w:ascii="Times New Roman" w:hAnsi="Times New Roman" w:cs="Times New Roman"/>
          <w:sz w:val="24"/>
          <w:szCs w:val="24"/>
        </w:rPr>
        <w:t>the Department</w:t>
      </w:r>
      <w:r w:rsidRPr="00080B11">
        <w:rPr>
          <w:rFonts w:ascii="Times New Roman" w:eastAsia="Calibri" w:hAnsi="Times New Roman" w:cs="Times New Roman"/>
          <w:sz w:val="24"/>
          <w:szCs w:val="24"/>
        </w:rPr>
        <w:t xml:space="preserve"> relative to Faculty and University priorities, employer and professional community demands.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Research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>Review current research outputs, activity, and capability relative to Faculty and University objectives including opportunities for developing research and knowledge leadership.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Research Training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>Review the HDR program, including admission standards, methodology and skills training, completion times and drop-out rates, supervision and reporting standards.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Staff and Student Profile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>Review the alignment of academic, professional, and student profile relative to current and future objectives and plans.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Community Engagement</w:t>
      </w:r>
    </w:p>
    <w:p w:rsidR="00916747" w:rsidRPr="00080B11" w:rsidRDefault="00916747" w:rsidP="0091674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>Review the scale, scope, and quality of community/industry engagement, including external/professional contribution to and referencing of, curriculum and research development.</w:t>
      </w:r>
    </w:p>
    <w:p w:rsidR="00916747" w:rsidRPr="00080B11" w:rsidRDefault="00916747" w:rsidP="00916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747" w:rsidRPr="00CA4DA8" w:rsidRDefault="00916747" w:rsidP="009167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DA8">
        <w:rPr>
          <w:rFonts w:ascii="Times New Roman" w:eastAsia="Calibri" w:hAnsi="Times New Roman" w:cs="Times New Roman"/>
          <w:b/>
          <w:sz w:val="24"/>
          <w:szCs w:val="24"/>
        </w:rPr>
        <w:t>Future Directions</w:t>
      </w:r>
    </w:p>
    <w:p w:rsidR="004F5B19" w:rsidRPr="00916747" w:rsidRDefault="00916747" w:rsidP="009167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11">
        <w:rPr>
          <w:rFonts w:ascii="Times New Roman" w:eastAsia="Calibri" w:hAnsi="Times New Roman" w:cs="Times New Roman"/>
          <w:sz w:val="24"/>
          <w:szCs w:val="24"/>
        </w:rPr>
        <w:t>Recommend future</w:t>
      </w:r>
      <w:r>
        <w:rPr>
          <w:rFonts w:ascii="Times New Roman" w:hAnsi="Times New Roman" w:cs="Times New Roman"/>
          <w:sz w:val="24"/>
          <w:szCs w:val="24"/>
        </w:rPr>
        <w:t xml:space="preserve"> development opportunities for the Department</w:t>
      </w:r>
      <w:r w:rsidRPr="00080B11">
        <w:rPr>
          <w:rFonts w:ascii="Times New Roman" w:eastAsia="Calibri" w:hAnsi="Times New Roman" w:cs="Times New Roman"/>
          <w:sz w:val="24"/>
          <w:szCs w:val="24"/>
        </w:rPr>
        <w:t xml:space="preserve"> in terms of its resources, research, teaching and community/industry engagement activity.</w:t>
      </w:r>
    </w:p>
    <w:sectPr w:rsidR="004F5B19" w:rsidRPr="00916747" w:rsidSect="009E06A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6747"/>
    <w:rsid w:val="00374025"/>
    <w:rsid w:val="00422BF1"/>
    <w:rsid w:val="004F5B19"/>
    <w:rsid w:val="00645068"/>
    <w:rsid w:val="00665AF6"/>
    <w:rsid w:val="006C5E6F"/>
    <w:rsid w:val="00720BF0"/>
    <w:rsid w:val="00806A8A"/>
    <w:rsid w:val="008B22AF"/>
    <w:rsid w:val="00916747"/>
    <w:rsid w:val="009640FB"/>
    <w:rsid w:val="00A95E82"/>
    <w:rsid w:val="00B9309A"/>
    <w:rsid w:val="00BA7AC9"/>
    <w:rsid w:val="00CE267F"/>
    <w:rsid w:val="00DA039F"/>
    <w:rsid w:val="00E2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4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Toshiba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Gillett</dc:creator>
  <cp:keywords/>
  <dc:description/>
  <cp:lastModifiedBy>BMclean</cp:lastModifiedBy>
  <cp:revision>2</cp:revision>
  <dcterms:created xsi:type="dcterms:W3CDTF">2011-05-30T04:07:00Z</dcterms:created>
  <dcterms:modified xsi:type="dcterms:W3CDTF">2011-05-30T04:07:00Z</dcterms:modified>
</cp:coreProperties>
</file>