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628"/>
        <w:gridCol w:w="11088"/>
      </w:tblGrid>
      <w:tr w:rsidR="00F42038" w:rsidTr="003A6025">
        <w:tc>
          <w:tcPr>
            <w:tcW w:w="2628" w:type="dxa"/>
          </w:tcPr>
          <w:p w:rsidR="00F42038" w:rsidRDefault="00785D7E" w:rsidP="003A6025">
            <w:bookmarkStart w:id="0" w:name="_GoBack"/>
            <w:bookmarkEnd w:id="0"/>
            <w:r>
              <w:rPr>
                <w:noProof/>
              </w:rPr>
              <w:drawing>
                <wp:inline distT="0" distB="0" distL="0" distR="0">
                  <wp:extent cx="1487170" cy="485140"/>
                  <wp:effectExtent l="0" t="0" r="0" b="0"/>
                  <wp:docPr id="1" name="Picture 1" descr="MQ in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 inline 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170" cy="485140"/>
                          </a:xfrm>
                          <a:prstGeom prst="rect">
                            <a:avLst/>
                          </a:prstGeom>
                          <a:noFill/>
                          <a:ln>
                            <a:noFill/>
                          </a:ln>
                        </pic:spPr>
                      </pic:pic>
                    </a:graphicData>
                  </a:graphic>
                </wp:inline>
              </w:drawing>
            </w:r>
          </w:p>
        </w:tc>
        <w:tc>
          <w:tcPr>
            <w:tcW w:w="11088" w:type="dxa"/>
          </w:tcPr>
          <w:p w:rsidR="00F42038" w:rsidRDefault="00F42038" w:rsidP="00BF19B6">
            <w:pPr>
              <w:pStyle w:val="Heading1"/>
              <w:jc w:val="right"/>
              <w:rPr>
                <w:rFonts w:ascii="Calibri" w:hAnsi="Calibri"/>
              </w:rPr>
            </w:pPr>
            <w:r w:rsidRPr="002518FE">
              <w:rPr>
                <w:rFonts w:ascii="Calibri" w:hAnsi="Calibri"/>
              </w:rPr>
              <w:t>Implementation Plan for Review of Dep</w:t>
            </w:r>
            <w:r w:rsidR="002574DC">
              <w:rPr>
                <w:rFonts w:ascii="Calibri" w:hAnsi="Calibri"/>
              </w:rPr>
              <w:t>artmen</w:t>
            </w:r>
            <w:r w:rsidRPr="002518FE">
              <w:rPr>
                <w:rFonts w:ascii="Calibri" w:hAnsi="Calibri"/>
              </w:rPr>
              <w:t xml:space="preserve">t of Physics and Astronomy </w:t>
            </w:r>
          </w:p>
          <w:p w:rsidR="00F42038" w:rsidRPr="002518FE" w:rsidRDefault="00F42038" w:rsidP="00BF19B6">
            <w:pPr>
              <w:pStyle w:val="Heading1"/>
              <w:jc w:val="right"/>
              <w:rPr>
                <w:rFonts w:ascii="Calibri" w:hAnsi="Calibri"/>
              </w:rPr>
            </w:pPr>
            <w:r>
              <w:rPr>
                <w:rFonts w:ascii="Calibri" w:hAnsi="Calibri"/>
              </w:rPr>
              <w:t>14</w:t>
            </w:r>
            <w:r w:rsidRPr="002518FE">
              <w:rPr>
                <w:rFonts w:ascii="Calibri" w:hAnsi="Calibri"/>
              </w:rPr>
              <w:t>-</w:t>
            </w:r>
            <w:r>
              <w:rPr>
                <w:rFonts w:ascii="Calibri" w:hAnsi="Calibri"/>
              </w:rPr>
              <w:t>16 November 2012</w:t>
            </w:r>
          </w:p>
        </w:tc>
      </w:tr>
    </w:tbl>
    <w:p w:rsidR="00F42038" w:rsidRPr="002518FE" w:rsidRDefault="00F42038" w:rsidP="0021386E">
      <w:pPr>
        <w:pStyle w:val="Heading2"/>
        <w:rPr>
          <w:rFonts w:ascii="Calibri" w:hAnsi="Calibri"/>
        </w:rPr>
      </w:pPr>
      <w:r w:rsidRPr="002518FE">
        <w:rPr>
          <w:rFonts w:ascii="Calibri" w:hAnsi="Calibri"/>
        </w:rPr>
        <w:t>Implementation of Findings and Recommendations</w:t>
      </w:r>
    </w:p>
    <w:p w:rsidR="00F42038" w:rsidRPr="002518FE" w:rsidRDefault="00F42038" w:rsidP="0021386E">
      <w:pPr>
        <w:pStyle w:val="Heading3"/>
        <w:numPr>
          <w:ilvl w:val="0"/>
          <w:numId w:val="1"/>
        </w:numPr>
        <w:rPr>
          <w:rFonts w:ascii="Calibri" w:hAnsi="Calibri"/>
        </w:rPr>
      </w:pPr>
      <w:r w:rsidRPr="002518FE">
        <w:rPr>
          <w:rFonts w:ascii="Calibri" w:hAnsi="Calibri"/>
        </w:rPr>
        <w:t>Governance,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F42038" w:rsidRPr="001A6902" w:rsidTr="003A6025">
        <w:tc>
          <w:tcPr>
            <w:tcW w:w="648" w:type="dxa"/>
          </w:tcPr>
          <w:p w:rsidR="00F42038" w:rsidRPr="001A6902" w:rsidRDefault="00F42038" w:rsidP="003A6025">
            <w:pPr>
              <w:jc w:val="center"/>
              <w:rPr>
                <w:rFonts w:ascii="Calibri" w:hAnsi="Calibri"/>
                <w:b/>
                <w:szCs w:val="20"/>
              </w:rPr>
            </w:pPr>
            <w:r w:rsidRPr="001A6902">
              <w:rPr>
                <w:rFonts w:ascii="Calibri" w:hAnsi="Calibri"/>
                <w:b/>
                <w:sz w:val="22"/>
                <w:szCs w:val="20"/>
              </w:rPr>
              <w:t>Rec No.</w:t>
            </w:r>
          </w:p>
        </w:tc>
        <w:tc>
          <w:tcPr>
            <w:tcW w:w="3612" w:type="dxa"/>
          </w:tcPr>
          <w:p w:rsidR="00F42038" w:rsidRPr="001A6902" w:rsidRDefault="00F42038" w:rsidP="003A6025">
            <w:pPr>
              <w:jc w:val="center"/>
              <w:rPr>
                <w:rFonts w:ascii="Calibri" w:hAnsi="Calibri"/>
                <w:b/>
                <w:szCs w:val="20"/>
              </w:rPr>
            </w:pPr>
            <w:r w:rsidRPr="001A6902">
              <w:rPr>
                <w:rFonts w:ascii="Calibri" w:hAnsi="Calibri"/>
                <w:b/>
                <w:sz w:val="22"/>
                <w:szCs w:val="20"/>
              </w:rPr>
              <w:t>Recommendation</w:t>
            </w:r>
          </w:p>
        </w:tc>
        <w:tc>
          <w:tcPr>
            <w:tcW w:w="1802" w:type="dxa"/>
          </w:tcPr>
          <w:p w:rsidR="00F42038" w:rsidRPr="001A6902" w:rsidRDefault="00F42038" w:rsidP="003A6025">
            <w:pPr>
              <w:jc w:val="center"/>
              <w:rPr>
                <w:rFonts w:ascii="Calibri" w:hAnsi="Calibri"/>
                <w:b/>
                <w:szCs w:val="20"/>
              </w:rPr>
            </w:pPr>
            <w:r w:rsidRPr="001A6902">
              <w:rPr>
                <w:rFonts w:ascii="Calibri" w:hAnsi="Calibri"/>
                <w:b/>
                <w:sz w:val="22"/>
                <w:szCs w:val="20"/>
              </w:rPr>
              <w:t>Responsibility</w:t>
            </w:r>
          </w:p>
        </w:tc>
        <w:tc>
          <w:tcPr>
            <w:tcW w:w="7654" w:type="dxa"/>
          </w:tcPr>
          <w:p w:rsidR="00F42038" w:rsidRPr="001A6902" w:rsidRDefault="00F42038" w:rsidP="003A6025">
            <w:pPr>
              <w:jc w:val="center"/>
              <w:rPr>
                <w:rFonts w:ascii="Calibri" w:hAnsi="Calibri"/>
                <w:b/>
                <w:szCs w:val="20"/>
              </w:rPr>
            </w:pPr>
            <w:r w:rsidRPr="001A6902">
              <w:rPr>
                <w:rFonts w:ascii="Calibri" w:hAnsi="Calibri"/>
                <w:b/>
                <w:sz w:val="22"/>
                <w:szCs w:val="20"/>
              </w:rPr>
              <w:t>Planned Response</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1.1</w:t>
            </w:r>
          </w:p>
        </w:tc>
        <w:tc>
          <w:tcPr>
            <w:tcW w:w="3612" w:type="dxa"/>
          </w:tcPr>
          <w:p w:rsidR="00F42038" w:rsidRPr="001A6902" w:rsidRDefault="00F42038" w:rsidP="003A6025">
            <w:pPr>
              <w:rPr>
                <w:rFonts w:ascii="Calibri" w:hAnsi="Calibri"/>
              </w:rPr>
            </w:pPr>
            <w:r w:rsidRPr="001A6902">
              <w:rPr>
                <w:rFonts w:ascii="Calibri" w:hAnsi="Calibri"/>
                <w:sz w:val="22"/>
                <w:szCs w:val="22"/>
              </w:rPr>
              <w:t>We affirm the restructure of the Department Executive involving the appointment of an executive including a deputy HOD and staff with identified executive delegation around Department responsibilities</w:t>
            </w:r>
          </w:p>
        </w:tc>
        <w:tc>
          <w:tcPr>
            <w:tcW w:w="1802" w:type="dxa"/>
          </w:tcPr>
          <w:p w:rsidR="00F42038" w:rsidRPr="001A6902" w:rsidRDefault="00F42038" w:rsidP="003A6025">
            <w:pPr>
              <w:rPr>
                <w:rFonts w:ascii="Calibri" w:hAnsi="Calibri" w:cs="Calibri"/>
              </w:rPr>
            </w:pPr>
            <w:proofErr w:type="spellStart"/>
            <w:r w:rsidRPr="001A6902">
              <w:rPr>
                <w:rFonts w:ascii="Calibri" w:hAnsi="Calibri" w:cs="Calibri"/>
                <w:sz w:val="22"/>
                <w:szCs w:val="22"/>
              </w:rPr>
              <w:t>HoD</w:t>
            </w:r>
            <w:proofErr w:type="spellEnd"/>
          </w:p>
        </w:tc>
        <w:tc>
          <w:tcPr>
            <w:tcW w:w="7654" w:type="dxa"/>
          </w:tcPr>
          <w:p w:rsidR="00F42038" w:rsidRPr="001A6902" w:rsidRDefault="00297CC8" w:rsidP="002574DC">
            <w:pPr>
              <w:rPr>
                <w:rFonts w:ascii="Calibri" w:hAnsi="Calibri" w:cs="Calibri"/>
                <w:i/>
              </w:rPr>
            </w:pPr>
            <w:r>
              <w:rPr>
                <w:rFonts w:ascii="Calibri" w:hAnsi="Calibri" w:cs="Calibri"/>
                <w:sz w:val="22"/>
                <w:szCs w:val="22"/>
              </w:rPr>
              <w:t>A Department E</w:t>
            </w:r>
            <w:r w:rsidR="00F42038" w:rsidRPr="001A6902">
              <w:rPr>
                <w:rFonts w:ascii="Calibri" w:hAnsi="Calibri" w:cs="Calibri"/>
                <w:sz w:val="22"/>
                <w:szCs w:val="22"/>
              </w:rPr>
              <w:t xml:space="preserve">xecutive has been formed which consists of the </w:t>
            </w:r>
            <w:proofErr w:type="spellStart"/>
            <w:r w:rsidR="00F42038" w:rsidRPr="001A6902">
              <w:rPr>
                <w:rFonts w:ascii="Calibri" w:hAnsi="Calibri" w:cs="Calibri"/>
                <w:sz w:val="22"/>
                <w:szCs w:val="22"/>
              </w:rPr>
              <w:t>HoD</w:t>
            </w:r>
            <w:proofErr w:type="spellEnd"/>
            <w:r w:rsidR="00F42038" w:rsidRPr="001A6902">
              <w:rPr>
                <w:rFonts w:ascii="Calibri" w:hAnsi="Calibri" w:cs="Calibri"/>
                <w:sz w:val="22"/>
                <w:szCs w:val="22"/>
              </w:rPr>
              <w:t xml:space="preserve">, Deputy </w:t>
            </w:r>
            <w:proofErr w:type="spellStart"/>
            <w:r w:rsidR="00F42038" w:rsidRPr="001A6902">
              <w:rPr>
                <w:rFonts w:ascii="Calibri" w:hAnsi="Calibri" w:cs="Calibri"/>
                <w:sz w:val="22"/>
                <w:szCs w:val="22"/>
              </w:rPr>
              <w:t>HoD</w:t>
            </w:r>
            <w:proofErr w:type="spellEnd"/>
            <w:r w:rsidR="00F42038" w:rsidRPr="001A6902">
              <w:rPr>
                <w:rFonts w:ascii="Calibri" w:hAnsi="Calibri" w:cs="Calibri"/>
                <w:sz w:val="22"/>
                <w:szCs w:val="22"/>
              </w:rPr>
              <w:t xml:space="preserve"> and staff with identified form</w:t>
            </w:r>
            <w:r w:rsidR="002574DC">
              <w:rPr>
                <w:rFonts w:ascii="Calibri" w:hAnsi="Calibri" w:cs="Calibri"/>
                <w:sz w:val="22"/>
                <w:szCs w:val="22"/>
              </w:rPr>
              <w:t>al delegation representing the Department</w:t>
            </w:r>
            <w:r w:rsidR="00F42038" w:rsidRPr="001A6902">
              <w:rPr>
                <w:rFonts w:ascii="Calibri" w:hAnsi="Calibri" w:cs="Calibri"/>
                <w:sz w:val="22"/>
                <w:szCs w:val="22"/>
              </w:rPr>
              <w:t xml:space="preserve"> for HDR, Research, TLC and FSQC.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1.2</w:t>
            </w:r>
          </w:p>
        </w:tc>
        <w:tc>
          <w:tcPr>
            <w:tcW w:w="3612" w:type="dxa"/>
          </w:tcPr>
          <w:p w:rsidR="00F42038" w:rsidRPr="001A6902" w:rsidRDefault="00F42038" w:rsidP="00A61540">
            <w:pPr>
              <w:jc w:val="both"/>
              <w:rPr>
                <w:rFonts w:ascii="Calibri" w:hAnsi="Calibri"/>
              </w:rPr>
            </w:pPr>
            <w:r w:rsidRPr="001A6902">
              <w:rPr>
                <w:rFonts w:ascii="Calibri" w:hAnsi="Calibri"/>
                <w:sz w:val="22"/>
                <w:szCs w:val="22"/>
              </w:rPr>
              <w:t>We recommend the streamlining of administration and processes in the Faculty and central University administration to free up more time to meet teaching and research needs</w:t>
            </w:r>
          </w:p>
        </w:tc>
        <w:tc>
          <w:tcPr>
            <w:tcW w:w="1802" w:type="dxa"/>
          </w:tcPr>
          <w:p w:rsidR="00F42038" w:rsidRPr="001A6902" w:rsidRDefault="00F42038" w:rsidP="003A6025">
            <w:pPr>
              <w:rPr>
                <w:rFonts w:ascii="Calibri" w:hAnsi="Calibri" w:cs="Calibri"/>
              </w:rPr>
            </w:pPr>
            <w:r w:rsidRPr="001A6902">
              <w:rPr>
                <w:rFonts w:ascii="Calibri" w:hAnsi="Calibri" w:cs="Calibri"/>
                <w:sz w:val="22"/>
                <w:szCs w:val="22"/>
              </w:rPr>
              <w:t>University executive</w:t>
            </w:r>
          </w:p>
        </w:tc>
        <w:tc>
          <w:tcPr>
            <w:tcW w:w="7654" w:type="dxa"/>
          </w:tcPr>
          <w:p w:rsidR="00F42038" w:rsidRPr="001A6902" w:rsidRDefault="002574DC" w:rsidP="003A6025">
            <w:pPr>
              <w:rPr>
                <w:rFonts w:ascii="Calibri" w:hAnsi="Calibri" w:cs="Calibri"/>
              </w:rPr>
            </w:pPr>
            <w:r>
              <w:rPr>
                <w:rFonts w:ascii="Calibri" w:hAnsi="Calibri" w:cs="Calibri"/>
                <w:sz w:val="22"/>
                <w:szCs w:val="22"/>
              </w:rPr>
              <w:t>Beyond the control of the Department</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1.3</w:t>
            </w:r>
          </w:p>
        </w:tc>
        <w:tc>
          <w:tcPr>
            <w:tcW w:w="3612" w:type="dxa"/>
          </w:tcPr>
          <w:p w:rsidR="00F42038" w:rsidRPr="001A6902" w:rsidRDefault="00F42038" w:rsidP="00A61540">
            <w:pPr>
              <w:rPr>
                <w:rFonts w:ascii="Calibri" w:hAnsi="Calibri"/>
              </w:rPr>
            </w:pPr>
            <w:r w:rsidRPr="001A6902">
              <w:rPr>
                <w:rFonts w:ascii="Calibri" w:hAnsi="Calibri"/>
                <w:sz w:val="22"/>
                <w:szCs w:val="22"/>
              </w:rPr>
              <w:t>We recommend that the Department explores mechanisms to improve communication within the Department and with the Faculty</w:t>
            </w:r>
          </w:p>
        </w:tc>
        <w:tc>
          <w:tcPr>
            <w:tcW w:w="1802" w:type="dxa"/>
          </w:tcPr>
          <w:p w:rsidR="00F42038" w:rsidRPr="001A6902" w:rsidRDefault="002574DC" w:rsidP="003A6025">
            <w:pPr>
              <w:rPr>
                <w:rFonts w:ascii="Calibri" w:hAnsi="Calibri" w:cs="Calibri"/>
              </w:rPr>
            </w:pPr>
            <w:proofErr w:type="spellStart"/>
            <w:r>
              <w:rPr>
                <w:rFonts w:ascii="Calibri" w:hAnsi="Calibri" w:cs="Calibri"/>
                <w:sz w:val="22"/>
                <w:szCs w:val="22"/>
              </w:rPr>
              <w:t>HoD</w:t>
            </w:r>
            <w:proofErr w:type="spellEnd"/>
            <w:r>
              <w:rPr>
                <w:rFonts w:ascii="Calibri" w:hAnsi="Calibri" w:cs="Calibri"/>
                <w:sz w:val="22"/>
                <w:szCs w:val="22"/>
              </w:rPr>
              <w:t>,</w:t>
            </w:r>
            <w:r w:rsidR="00F42038" w:rsidRPr="001A6902">
              <w:rPr>
                <w:rFonts w:ascii="Calibri" w:hAnsi="Calibri" w:cs="Calibri"/>
                <w:sz w:val="22"/>
                <w:szCs w:val="22"/>
              </w:rPr>
              <w:t xml:space="preserve"> delegated representatives</w:t>
            </w:r>
            <w:r>
              <w:rPr>
                <w:rFonts w:ascii="Calibri" w:hAnsi="Calibri" w:cs="Calibri"/>
                <w:sz w:val="22"/>
                <w:szCs w:val="22"/>
              </w:rPr>
              <w:t>, Centre Directors and staff</w:t>
            </w:r>
          </w:p>
        </w:tc>
        <w:tc>
          <w:tcPr>
            <w:tcW w:w="7654" w:type="dxa"/>
          </w:tcPr>
          <w:p w:rsidR="00F42038" w:rsidRPr="001A6902" w:rsidRDefault="00F42038" w:rsidP="002574DC">
            <w:pPr>
              <w:rPr>
                <w:rFonts w:ascii="Calibri" w:hAnsi="Calibri" w:cs="Calibri"/>
              </w:rPr>
            </w:pPr>
            <w:r w:rsidRPr="001A6902">
              <w:rPr>
                <w:rFonts w:ascii="Calibri" w:hAnsi="Calibri" w:cs="Calibri"/>
                <w:sz w:val="22"/>
                <w:szCs w:val="22"/>
              </w:rPr>
              <w:t xml:space="preserve">The main communication mechanism is the monthly </w:t>
            </w:r>
            <w:r w:rsidR="002574DC">
              <w:rPr>
                <w:rFonts w:ascii="Calibri" w:hAnsi="Calibri" w:cs="Calibri"/>
                <w:sz w:val="22"/>
                <w:szCs w:val="22"/>
              </w:rPr>
              <w:t>Department</w:t>
            </w:r>
            <w:r w:rsidRPr="001A6902">
              <w:rPr>
                <w:rFonts w:ascii="Calibri" w:hAnsi="Calibri" w:cs="Calibri"/>
                <w:sz w:val="22"/>
                <w:szCs w:val="22"/>
              </w:rPr>
              <w:t xml:space="preserve"> meeting supplemented by research centre meetings/ seminars</w:t>
            </w:r>
            <w:r w:rsidR="002574DC">
              <w:rPr>
                <w:rFonts w:ascii="Calibri" w:hAnsi="Calibri" w:cs="Calibri"/>
                <w:sz w:val="22"/>
                <w:szCs w:val="22"/>
              </w:rPr>
              <w:t>/ newsletters</w:t>
            </w:r>
            <w:r w:rsidRPr="001A6902">
              <w:rPr>
                <w:rFonts w:ascii="Calibri" w:hAnsi="Calibri" w:cs="Calibri"/>
                <w:sz w:val="22"/>
                <w:szCs w:val="22"/>
              </w:rPr>
              <w:t xml:space="preserve">. </w:t>
            </w:r>
            <w:r w:rsidR="00FC30D8">
              <w:rPr>
                <w:rFonts w:ascii="Calibri" w:hAnsi="Calibri" w:cs="Calibri"/>
                <w:sz w:val="22"/>
                <w:szCs w:val="22"/>
              </w:rPr>
              <w:t xml:space="preserve">The </w:t>
            </w:r>
            <w:proofErr w:type="spellStart"/>
            <w:r w:rsidR="00FC30D8">
              <w:rPr>
                <w:rFonts w:ascii="Calibri" w:hAnsi="Calibri" w:cs="Calibri"/>
                <w:sz w:val="22"/>
                <w:szCs w:val="22"/>
              </w:rPr>
              <w:t>HoD</w:t>
            </w:r>
            <w:proofErr w:type="spellEnd"/>
            <w:r w:rsidR="00FC30D8">
              <w:rPr>
                <w:rFonts w:ascii="Calibri" w:hAnsi="Calibri" w:cs="Calibri"/>
                <w:sz w:val="22"/>
                <w:szCs w:val="22"/>
              </w:rPr>
              <w:t xml:space="preserve"> attends Deans Advisory Committee meetings where some items of business in the Faculty are discussed. </w:t>
            </w:r>
            <w:r w:rsidRPr="001A6902">
              <w:rPr>
                <w:rFonts w:ascii="Calibri" w:hAnsi="Calibri" w:cs="Calibri"/>
                <w:sz w:val="22"/>
                <w:szCs w:val="22"/>
              </w:rPr>
              <w:t>Regular emails</w:t>
            </w:r>
            <w:r w:rsidR="00FC30D8">
              <w:rPr>
                <w:rFonts w:ascii="Calibri" w:hAnsi="Calibri" w:cs="Calibri"/>
                <w:sz w:val="22"/>
                <w:szCs w:val="22"/>
              </w:rPr>
              <w:t xml:space="preserve"> to the academic </w:t>
            </w:r>
            <w:proofErr w:type="gramStart"/>
            <w:r w:rsidR="00FC30D8">
              <w:rPr>
                <w:rFonts w:ascii="Calibri" w:hAnsi="Calibri" w:cs="Calibri"/>
                <w:sz w:val="22"/>
                <w:szCs w:val="22"/>
              </w:rPr>
              <w:t>staff,</w:t>
            </w:r>
            <w:proofErr w:type="gramEnd"/>
            <w:r w:rsidR="00FC30D8">
              <w:rPr>
                <w:rFonts w:ascii="Calibri" w:hAnsi="Calibri" w:cs="Calibri"/>
                <w:sz w:val="22"/>
                <w:szCs w:val="22"/>
              </w:rPr>
              <w:t xml:space="preserve"> and to the Department as a whole,</w:t>
            </w:r>
            <w:r w:rsidRPr="001A6902">
              <w:rPr>
                <w:rFonts w:ascii="Calibri" w:hAnsi="Calibri" w:cs="Calibri"/>
                <w:sz w:val="22"/>
                <w:szCs w:val="22"/>
              </w:rPr>
              <w:t xml:space="preserve"> from </w:t>
            </w:r>
            <w:proofErr w:type="spellStart"/>
            <w:r w:rsidRPr="001A6902">
              <w:rPr>
                <w:rFonts w:ascii="Calibri" w:hAnsi="Calibri" w:cs="Calibri"/>
                <w:sz w:val="22"/>
                <w:szCs w:val="22"/>
              </w:rPr>
              <w:t>HoD</w:t>
            </w:r>
            <w:proofErr w:type="spellEnd"/>
            <w:r w:rsidRPr="001A6902">
              <w:rPr>
                <w:rFonts w:ascii="Calibri" w:hAnsi="Calibri" w:cs="Calibri"/>
                <w:sz w:val="22"/>
                <w:szCs w:val="22"/>
              </w:rPr>
              <w:t xml:space="preserve"> and other staff also facilitate information exchange. Meetings of the </w:t>
            </w:r>
            <w:r w:rsidR="002574DC">
              <w:rPr>
                <w:rFonts w:ascii="Calibri" w:hAnsi="Calibri" w:cs="Calibri"/>
                <w:sz w:val="22"/>
                <w:szCs w:val="22"/>
              </w:rPr>
              <w:t xml:space="preserve">Department </w:t>
            </w:r>
            <w:r w:rsidRPr="001A6902">
              <w:rPr>
                <w:rFonts w:ascii="Calibri" w:hAnsi="Calibri" w:cs="Calibri"/>
                <w:sz w:val="22"/>
                <w:szCs w:val="22"/>
              </w:rPr>
              <w:t xml:space="preserve">academic </w:t>
            </w:r>
            <w:proofErr w:type="gramStart"/>
            <w:r w:rsidRPr="001A6902">
              <w:rPr>
                <w:rFonts w:ascii="Calibri" w:hAnsi="Calibri" w:cs="Calibri"/>
                <w:sz w:val="22"/>
                <w:szCs w:val="22"/>
              </w:rPr>
              <w:t>staff</w:t>
            </w:r>
            <w:r w:rsidR="002574DC">
              <w:rPr>
                <w:rFonts w:ascii="Calibri" w:hAnsi="Calibri" w:cs="Calibri"/>
                <w:sz w:val="22"/>
                <w:szCs w:val="22"/>
              </w:rPr>
              <w:t>,</w:t>
            </w:r>
            <w:proofErr w:type="gramEnd"/>
            <w:r w:rsidRPr="001A6902">
              <w:rPr>
                <w:rFonts w:ascii="Calibri" w:hAnsi="Calibri" w:cs="Calibri"/>
                <w:sz w:val="22"/>
                <w:szCs w:val="22"/>
              </w:rPr>
              <w:t xml:space="preserve"> and of </w:t>
            </w:r>
            <w:proofErr w:type="spellStart"/>
            <w:r w:rsidRPr="001A6902">
              <w:rPr>
                <w:rFonts w:ascii="Calibri" w:hAnsi="Calibri" w:cs="Calibri"/>
                <w:sz w:val="22"/>
                <w:szCs w:val="22"/>
              </w:rPr>
              <w:t>HoD</w:t>
            </w:r>
            <w:proofErr w:type="spellEnd"/>
            <w:r w:rsidRPr="001A6902">
              <w:rPr>
                <w:rFonts w:ascii="Calibri" w:hAnsi="Calibri" w:cs="Calibri"/>
                <w:sz w:val="22"/>
                <w:szCs w:val="22"/>
              </w:rPr>
              <w:t xml:space="preserve"> with postdocs</w:t>
            </w:r>
            <w:r w:rsidR="002574DC">
              <w:rPr>
                <w:rFonts w:ascii="Calibri" w:hAnsi="Calibri" w:cs="Calibri"/>
                <w:sz w:val="22"/>
                <w:szCs w:val="22"/>
              </w:rPr>
              <w:t>,</w:t>
            </w:r>
            <w:r w:rsidRPr="001A6902">
              <w:rPr>
                <w:rFonts w:ascii="Calibri" w:hAnsi="Calibri" w:cs="Calibri"/>
                <w:sz w:val="22"/>
                <w:szCs w:val="22"/>
              </w:rPr>
              <w:t xml:space="preserve"> to disseminate and discuss information on specific topics have been organised.  Further social gatherings are planned around </w:t>
            </w:r>
            <w:r w:rsidR="002574DC">
              <w:rPr>
                <w:rFonts w:ascii="Calibri" w:hAnsi="Calibri" w:cs="Calibri"/>
                <w:sz w:val="22"/>
                <w:szCs w:val="22"/>
              </w:rPr>
              <w:t>Department</w:t>
            </w:r>
            <w:r w:rsidRPr="001A6902">
              <w:rPr>
                <w:rFonts w:ascii="Calibri" w:hAnsi="Calibri" w:cs="Calibri"/>
                <w:sz w:val="22"/>
                <w:szCs w:val="22"/>
              </w:rPr>
              <w:t xml:space="preserve"> colloquia and PhD stud</w:t>
            </w:r>
            <w:r w:rsidR="002574DC">
              <w:rPr>
                <w:rFonts w:ascii="Calibri" w:hAnsi="Calibri" w:cs="Calibri"/>
                <w:sz w:val="22"/>
                <w:szCs w:val="22"/>
              </w:rPr>
              <w:t>ent final thesis seminars. The Faculty C</w:t>
            </w:r>
            <w:r w:rsidRPr="001A6902">
              <w:rPr>
                <w:rFonts w:ascii="Calibri" w:hAnsi="Calibri" w:cs="Calibri"/>
                <w:sz w:val="22"/>
                <w:szCs w:val="22"/>
              </w:rPr>
              <w:t>ommittee rep</w:t>
            </w:r>
            <w:r w:rsidR="002574DC">
              <w:rPr>
                <w:rFonts w:ascii="Calibri" w:hAnsi="Calibri" w:cs="Calibri"/>
                <w:sz w:val="22"/>
                <w:szCs w:val="22"/>
              </w:rPr>
              <w:t>resentative</w:t>
            </w:r>
            <w:r w:rsidRPr="001A6902">
              <w:rPr>
                <w:rFonts w:ascii="Calibri" w:hAnsi="Calibri" w:cs="Calibri"/>
                <w:sz w:val="22"/>
                <w:szCs w:val="22"/>
              </w:rPr>
              <w:t xml:space="preserve">s report to the </w:t>
            </w:r>
            <w:r w:rsidR="002574DC">
              <w:rPr>
                <w:rFonts w:ascii="Calibri" w:hAnsi="Calibri" w:cs="Calibri"/>
                <w:sz w:val="22"/>
                <w:szCs w:val="22"/>
              </w:rPr>
              <w:t>Department</w:t>
            </w:r>
            <w:r w:rsidRPr="001A6902">
              <w:rPr>
                <w:rFonts w:ascii="Calibri" w:hAnsi="Calibri" w:cs="Calibri"/>
                <w:sz w:val="22"/>
                <w:szCs w:val="22"/>
              </w:rPr>
              <w:t xml:space="preserve"> meeting and separately to the </w:t>
            </w:r>
            <w:proofErr w:type="spellStart"/>
            <w:r w:rsidRPr="001A6902">
              <w:rPr>
                <w:rFonts w:ascii="Calibri" w:hAnsi="Calibri" w:cs="Calibri"/>
                <w:sz w:val="22"/>
                <w:szCs w:val="22"/>
              </w:rPr>
              <w:t>HoD</w:t>
            </w:r>
            <w:proofErr w:type="spellEnd"/>
            <w:r w:rsidRPr="001A6902">
              <w:rPr>
                <w:rFonts w:ascii="Calibri" w:hAnsi="Calibri" w:cs="Calibri"/>
                <w:sz w:val="22"/>
                <w:szCs w:val="22"/>
              </w:rPr>
              <w:t xml:space="preserve"> as needed. Improved internal communication has also come from the planned relocation of most of the </w:t>
            </w:r>
            <w:r w:rsidRPr="001A6902">
              <w:rPr>
                <w:rFonts w:ascii="Calibri" w:hAnsi="Calibri" w:cs="Calibri"/>
                <w:sz w:val="22"/>
                <w:szCs w:val="22"/>
              </w:rPr>
              <w:lastRenderedPageBreak/>
              <w:t xml:space="preserve">Department from C5C and E7A to a refurbished floor of E6B with dedicated meeting space. </w:t>
            </w:r>
            <w:r w:rsidR="00FC30D8">
              <w:rPr>
                <w:rFonts w:ascii="Calibri" w:hAnsi="Calibri" w:cs="Calibri"/>
                <w:sz w:val="22"/>
                <w:szCs w:val="22"/>
              </w:rPr>
              <w:t xml:space="preserve"> We will survey the members of the Department to determine which forms of communication (regular email reports, meetings, </w:t>
            </w:r>
            <w:proofErr w:type="gramStart"/>
            <w:r w:rsidR="00FC30D8">
              <w:rPr>
                <w:rFonts w:ascii="Calibri" w:hAnsi="Calibri" w:cs="Calibri"/>
                <w:sz w:val="22"/>
                <w:szCs w:val="22"/>
              </w:rPr>
              <w:t>informal</w:t>
            </w:r>
            <w:proofErr w:type="gramEnd"/>
            <w:r w:rsidR="00FC30D8">
              <w:rPr>
                <w:rFonts w:ascii="Calibri" w:hAnsi="Calibri" w:cs="Calibri"/>
                <w:sz w:val="22"/>
                <w:szCs w:val="22"/>
              </w:rPr>
              <w:t xml:space="preserve"> gatherings) are considered effective.</w:t>
            </w:r>
          </w:p>
        </w:tc>
      </w:tr>
    </w:tbl>
    <w:p w:rsidR="00F42038" w:rsidRPr="001A6902" w:rsidRDefault="00F42038">
      <w:pPr>
        <w:rPr>
          <w:rFonts w:ascii="Calibri" w:hAnsi="Calibri"/>
          <w:sz w:val="22"/>
        </w:rPr>
      </w:pPr>
    </w:p>
    <w:p w:rsidR="00F42038" w:rsidRPr="00FC30D8" w:rsidRDefault="00FC30D8" w:rsidP="00FC30D8">
      <w:pPr>
        <w:spacing w:after="200" w:line="276" w:lineRule="auto"/>
        <w:rPr>
          <w:rFonts w:ascii="Calibri" w:hAnsi="Calibri" w:cs="Arial"/>
          <w:b/>
          <w:bCs/>
          <w:sz w:val="22"/>
          <w:szCs w:val="26"/>
        </w:rPr>
      </w:pPr>
      <w:r>
        <w:rPr>
          <w:rFonts w:ascii="Calibri" w:hAnsi="Calibri"/>
          <w:b/>
          <w:sz w:val="22"/>
        </w:rPr>
        <w:t xml:space="preserve">2.  </w:t>
      </w:r>
      <w:r w:rsidR="00F42038" w:rsidRPr="00FC30D8">
        <w:rPr>
          <w:rFonts w:ascii="Calibri" w:hAnsi="Calibri"/>
          <w:b/>
          <w:sz w:val="22"/>
        </w:rPr>
        <w:t>Academic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F42038" w:rsidRPr="001A6902" w:rsidTr="003A6025">
        <w:tc>
          <w:tcPr>
            <w:tcW w:w="648" w:type="dxa"/>
          </w:tcPr>
          <w:p w:rsidR="00F42038" w:rsidRPr="001A6902" w:rsidRDefault="00F42038" w:rsidP="003A6025">
            <w:pPr>
              <w:jc w:val="center"/>
              <w:rPr>
                <w:rFonts w:ascii="Calibri" w:hAnsi="Calibri"/>
                <w:b/>
                <w:szCs w:val="20"/>
              </w:rPr>
            </w:pPr>
            <w:r w:rsidRPr="001A6902">
              <w:rPr>
                <w:rFonts w:ascii="Calibri" w:hAnsi="Calibri"/>
                <w:b/>
                <w:sz w:val="22"/>
                <w:szCs w:val="20"/>
              </w:rPr>
              <w:t>Rec No.</w:t>
            </w:r>
          </w:p>
        </w:tc>
        <w:tc>
          <w:tcPr>
            <w:tcW w:w="3612" w:type="dxa"/>
          </w:tcPr>
          <w:p w:rsidR="00F42038" w:rsidRPr="001A6902" w:rsidRDefault="00F42038" w:rsidP="003A6025">
            <w:pPr>
              <w:jc w:val="center"/>
              <w:rPr>
                <w:rFonts w:ascii="Calibri" w:hAnsi="Calibri"/>
                <w:b/>
                <w:szCs w:val="20"/>
              </w:rPr>
            </w:pPr>
            <w:r w:rsidRPr="001A6902">
              <w:rPr>
                <w:rFonts w:ascii="Calibri" w:hAnsi="Calibri"/>
                <w:b/>
                <w:sz w:val="22"/>
                <w:szCs w:val="20"/>
              </w:rPr>
              <w:t>Recommendation</w:t>
            </w:r>
          </w:p>
        </w:tc>
        <w:tc>
          <w:tcPr>
            <w:tcW w:w="1802" w:type="dxa"/>
          </w:tcPr>
          <w:p w:rsidR="00F42038" w:rsidRPr="001A6902" w:rsidRDefault="00F42038" w:rsidP="003A6025">
            <w:pPr>
              <w:jc w:val="center"/>
              <w:rPr>
                <w:rFonts w:ascii="Calibri" w:hAnsi="Calibri"/>
                <w:b/>
                <w:szCs w:val="20"/>
              </w:rPr>
            </w:pPr>
            <w:r w:rsidRPr="001A6902">
              <w:rPr>
                <w:rFonts w:ascii="Calibri" w:hAnsi="Calibri"/>
                <w:b/>
                <w:sz w:val="22"/>
                <w:szCs w:val="20"/>
              </w:rPr>
              <w:t>Responsibility</w:t>
            </w:r>
          </w:p>
        </w:tc>
        <w:tc>
          <w:tcPr>
            <w:tcW w:w="7654" w:type="dxa"/>
          </w:tcPr>
          <w:p w:rsidR="00F42038" w:rsidRPr="001A6902" w:rsidRDefault="00F42038" w:rsidP="003A6025">
            <w:pPr>
              <w:jc w:val="center"/>
              <w:rPr>
                <w:rFonts w:ascii="Calibri" w:hAnsi="Calibri"/>
                <w:b/>
                <w:szCs w:val="20"/>
              </w:rPr>
            </w:pPr>
            <w:r w:rsidRPr="001A6902">
              <w:rPr>
                <w:rFonts w:ascii="Calibri" w:hAnsi="Calibri"/>
                <w:b/>
                <w:sz w:val="22"/>
                <w:szCs w:val="20"/>
              </w:rPr>
              <w:t>Planned Response</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2.1</w:t>
            </w:r>
          </w:p>
        </w:tc>
        <w:tc>
          <w:tcPr>
            <w:tcW w:w="3612" w:type="dxa"/>
          </w:tcPr>
          <w:p w:rsidR="00F42038" w:rsidRPr="001A6902" w:rsidRDefault="00F42038" w:rsidP="003A6025">
            <w:pPr>
              <w:rPr>
                <w:rFonts w:ascii="Calibri" w:hAnsi="Calibri"/>
              </w:rPr>
            </w:pPr>
            <w:r w:rsidRPr="001A6902">
              <w:rPr>
                <w:rFonts w:ascii="Calibri" w:hAnsi="Calibri"/>
                <w:sz w:val="22"/>
                <w:szCs w:val="22"/>
              </w:rPr>
              <w:t xml:space="preserve">The actions taken in response to survey questionnaires (LEU and LET) should be more explicitly made to students so that the feedback loop is clear to future cohorts of students  </w:t>
            </w:r>
          </w:p>
        </w:tc>
        <w:tc>
          <w:tcPr>
            <w:tcW w:w="1802" w:type="dxa"/>
          </w:tcPr>
          <w:p w:rsidR="00F42038" w:rsidRPr="001A6902" w:rsidRDefault="00F42038" w:rsidP="003A6025">
            <w:pPr>
              <w:rPr>
                <w:rFonts w:ascii="Calibri" w:hAnsi="Calibri" w:cs="Calibri"/>
              </w:rPr>
            </w:pPr>
            <w:r w:rsidRPr="001A6902">
              <w:rPr>
                <w:rFonts w:ascii="Calibri" w:hAnsi="Calibri" w:cs="Calibri"/>
                <w:sz w:val="22"/>
                <w:szCs w:val="22"/>
              </w:rPr>
              <w:t>Teaching staff</w:t>
            </w:r>
          </w:p>
        </w:tc>
        <w:tc>
          <w:tcPr>
            <w:tcW w:w="7654" w:type="dxa"/>
          </w:tcPr>
          <w:p w:rsidR="00F42038" w:rsidRPr="001A6902" w:rsidRDefault="00F42038" w:rsidP="003A6025">
            <w:pPr>
              <w:rPr>
                <w:rFonts w:ascii="Calibri" w:hAnsi="Calibri" w:cs="Calibri"/>
              </w:rPr>
            </w:pPr>
            <w:r>
              <w:rPr>
                <w:rFonts w:ascii="Calibri" w:hAnsi="Calibri" w:cs="Calibri"/>
                <w:sz w:val="22"/>
                <w:szCs w:val="22"/>
              </w:rPr>
              <w:t>All</w:t>
            </w:r>
            <w:r w:rsidRPr="001A6902">
              <w:rPr>
                <w:rFonts w:ascii="Calibri" w:hAnsi="Calibri" w:cs="Calibri"/>
                <w:sz w:val="22"/>
                <w:szCs w:val="22"/>
              </w:rPr>
              <w:t xml:space="preserve"> unit outline</w:t>
            </w:r>
            <w:r>
              <w:rPr>
                <w:rFonts w:ascii="Calibri" w:hAnsi="Calibri" w:cs="Calibri"/>
                <w:sz w:val="22"/>
                <w:szCs w:val="22"/>
              </w:rPr>
              <w:t>s have</w:t>
            </w:r>
            <w:r w:rsidRPr="001A6902">
              <w:rPr>
                <w:rFonts w:ascii="Calibri" w:hAnsi="Calibri" w:cs="Calibri"/>
                <w:sz w:val="22"/>
                <w:szCs w:val="22"/>
              </w:rPr>
              <w:t xml:space="preserve"> a section discussing changes to the offering. </w:t>
            </w:r>
            <w:proofErr w:type="gramStart"/>
            <w:r w:rsidRPr="001A6902">
              <w:rPr>
                <w:rFonts w:ascii="Calibri" w:hAnsi="Calibri" w:cs="Calibri"/>
                <w:sz w:val="22"/>
                <w:szCs w:val="22"/>
              </w:rPr>
              <w:t>Staff are</w:t>
            </w:r>
            <w:proofErr w:type="gramEnd"/>
            <w:r w:rsidRPr="001A6902">
              <w:rPr>
                <w:rFonts w:ascii="Calibri" w:hAnsi="Calibri" w:cs="Calibri"/>
                <w:sz w:val="22"/>
                <w:szCs w:val="22"/>
              </w:rPr>
              <w:t xml:space="preserve"> asked to put changes in response to their surveys in this section, and also to make students aware of the changes in their lectures as appropriate.</w:t>
            </w:r>
            <w:r w:rsidR="00415E76">
              <w:rPr>
                <w:rFonts w:ascii="Calibri" w:hAnsi="Calibri" w:cs="Calibri"/>
                <w:sz w:val="22"/>
                <w:szCs w:val="22"/>
              </w:rPr>
              <w:t xml:space="preserve"> Student Liaison C</w:t>
            </w:r>
            <w:r>
              <w:rPr>
                <w:rFonts w:ascii="Calibri" w:hAnsi="Calibri" w:cs="Calibri"/>
                <w:sz w:val="22"/>
                <w:szCs w:val="22"/>
              </w:rPr>
              <w:t xml:space="preserve">ommittee meetings twice a year also act as a forum to discuss problems with units, and resulting changes by staff.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2.2</w:t>
            </w:r>
          </w:p>
        </w:tc>
        <w:tc>
          <w:tcPr>
            <w:tcW w:w="3612" w:type="dxa"/>
          </w:tcPr>
          <w:p w:rsidR="00F42038" w:rsidRPr="001A6902" w:rsidRDefault="00F42038" w:rsidP="003A6025">
            <w:pPr>
              <w:rPr>
                <w:rFonts w:ascii="Calibri" w:hAnsi="Calibri"/>
              </w:rPr>
            </w:pPr>
            <w:r w:rsidRPr="001A6902">
              <w:rPr>
                <w:rFonts w:ascii="Calibri" w:hAnsi="Calibri"/>
                <w:sz w:val="22"/>
                <w:szCs w:val="22"/>
              </w:rPr>
              <w:t>The Panel supports the restructure of Physics Majors to lift enrolments in third year</w:t>
            </w:r>
          </w:p>
        </w:tc>
        <w:tc>
          <w:tcPr>
            <w:tcW w:w="1802" w:type="dxa"/>
          </w:tcPr>
          <w:p w:rsidR="00F42038" w:rsidRPr="001A6902" w:rsidRDefault="002574DC" w:rsidP="003A6025">
            <w:pPr>
              <w:rPr>
                <w:rFonts w:ascii="Calibri" w:hAnsi="Calibri" w:cs="Calibri"/>
              </w:rPr>
            </w:pPr>
            <w:proofErr w:type="spellStart"/>
            <w:r>
              <w:rPr>
                <w:rFonts w:ascii="Calibri" w:hAnsi="Calibri" w:cs="Calibri"/>
                <w:sz w:val="22"/>
                <w:szCs w:val="22"/>
              </w:rPr>
              <w:t>HoD</w:t>
            </w:r>
            <w:proofErr w:type="spellEnd"/>
            <w:r>
              <w:rPr>
                <w:rFonts w:ascii="Calibri" w:hAnsi="Calibri" w:cs="Calibri"/>
                <w:sz w:val="22"/>
                <w:szCs w:val="22"/>
              </w:rPr>
              <w:t xml:space="preserve"> and C</w:t>
            </w:r>
            <w:r w:rsidR="00F42038" w:rsidRPr="001A6902">
              <w:rPr>
                <w:rFonts w:ascii="Calibri" w:hAnsi="Calibri" w:cs="Calibri"/>
                <w:sz w:val="22"/>
                <w:szCs w:val="22"/>
              </w:rPr>
              <w:t>urriculum committee</w:t>
            </w:r>
          </w:p>
        </w:tc>
        <w:tc>
          <w:tcPr>
            <w:tcW w:w="7654" w:type="dxa"/>
          </w:tcPr>
          <w:p w:rsidR="00F42038" w:rsidRPr="001A6902" w:rsidRDefault="00F42038" w:rsidP="00415E76">
            <w:pPr>
              <w:rPr>
                <w:rFonts w:ascii="Calibri" w:hAnsi="Calibri" w:cs="Calibri"/>
              </w:rPr>
            </w:pPr>
            <w:r w:rsidRPr="001A6902">
              <w:rPr>
                <w:rFonts w:ascii="Calibri" w:hAnsi="Calibri" w:cs="Calibri"/>
                <w:sz w:val="22"/>
                <w:szCs w:val="22"/>
              </w:rPr>
              <w:t xml:space="preserve">The </w:t>
            </w:r>
            <w:r w:rsidR="00415E76">
              <w:rPr>
                <w:rFonts w:ascii="Calibri" w:hAnsi="Calibri" w:cs="Calibri"/>
                <w:sz w:val="22"/>
                <w:szCs w:val="22"/>
              </w:rPr>
              <w:t>P</w:t>
            </w:r>
            <w:r w:rsidRPr="001A6902">
              <w:rPr>
                <w:rFonts w:ascii="Calibri" w:hAnsi="Calibri" w:cs="Calibri"/>
                <w:sz w:val="22"/>
                <w:szCs w:val="22"/>
              </w:rPr>
              <w:t>hysics offerings have been adjus</w:t>
            </w:r>
            <w:r>
              <w:rPr>
                <w:rFonts w:ascii="Calibri" w:hAnsi="Calibri" w:cs="Calibri"/>
                <w:sz w:val="22"/>
                <w:szCs w:val="22"/>
              </w:rPr>
              <w:t xml:space="preserve">ted slightly for 2014, but further changes were </w:t>
            </w:r>
            <w:r w:rsidRPr="001A6902">
              <w:rPr>
                <w:rFonts w:ascii="Calibri" w:hAnsi="Calibri" w:cs="Calibri"/>
                <w:sz w:val="22"/>
                <w:szCs w:val="22"/>
              </w:rPr>
              <w:t>placed on hold while changes to the definition o</w:t>
            </w:r>
            <w:r>
              <w:rPr>
                <w:rFonts w:ascii="Calibri" w:hAnsi="Calibri" w:cs="Calibri"/>
                <w:sz w:val="22"/>
                <w:szCs w:val="22"/>
              </w:rPr>
              <w:t>f the majors were finalised by S</w:t>
            </w:r>
            <w:r w:rsidRPr="001A6902">
              <w:rPr>
                <w:rFonts w:ascii="Calibri" w:hAnsi="Calibri" w:cs="Calibri"/>
                <w:sz w:val="22"/>
                <w:szCs w:val="22"/>
              </w:rPr>
              <w:t xml:space="preserve">enate. Further changes to offerings are possible in 2015.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2.3</w:t>
            </w:r>
          </w:p>
        </w:tc>
        <w:tc>
          <w:tcPr>
            <w:tcW w:w="3612" w:type="dxa"/>
          </w:tcPr>
          <w:p w:rsidR="00F42038" w:rsidRPr="001A6902" w:rsidRDefault="00F42038" w:rsidP="003A6025">
            <w:pPr>
              <w:rPr>
                <w:rFonts w:ascii="Calibri" w:hAnsi="Calibri"/>
              </w:rPr>
            </w:pPr>
            <w:r w:rsidRPr="001A6902">
              <w:rPr>
                <w:rFonts w:ascii="Calibri" w:hAnsi="Calibri"/>
                <w:sz w:val="22"/>
                <w:szCs w:val="22"/>
              </w:rPr>
              <w:t>The Panel recommends that the Department considers the need for the current laboratory experience in Planet units and whether this experience could be delivered by alternative methods to reduce the resource impact on laboratory facilities</w:t>
            </w:r>
          </w:p>
        </w:tc>
        <w:tc>
          <w:tcPr>
            <w:tcW w:w="1802" w:type="dxa"/>
          </w:tcPr>
          <w:p w:rsidR="00F42038" w:rsidRPr="001A6902" w:rsidRDefault="00F42038" w:rsidP="003A6025">
            <w:pPr>
              <w:rPr>
                <w:rFonts w:ascii="Calibri" w:hAnsi="Calibri" w:cs="Calibri"/>
              </w:rPr>
            </w:pPr>
            <w:r w:rsidRPr="001A6902">
              <w:rPr>
                <w:rFonts w:ascii="Calibri" w:hAnsi="Calibri" w:cs="Calibri"/>
                <w:sz w:val="22"/>
                <w:szCs w:val="22"/>
              </w:rPr>
              <w:t>Academic staff responsible for Planet units and professional lab staff.</w:t>
            </w:r>
          </w:p>
        </w:tc>
        <w:tc>
          <w:tcPr>
            <w:tcW w:w="7654" w:type="dxa"/>
          </w:tcPr>
          <w:p w:rsidR="00F42038" w:rsidRPr="001A6902" w:rsidRDefault="00F42038" w:rsidP="003A6025">
            <w:pPr>
              <w:rPr>
                <w:rFonts w:ascii="Calibri" w:hAnsi="Calibri" w:cs="Calibri"/>
                <w:i/>
              </w:rPr>
            </w:pPr>
            <w:r w:rsidRPr="001A6902">
              <w:rPr>
                <w:rFonts w:ascii="Calibri" w:hAnsi="Calibri" w:cs="Calibri"/>
                <w:sz w:val="22"/>
              </w:rPr>
              <w:t xml:space="preserve">This refers to ASTR170 and PHY159. Further discussions are required between the staff concerned, as we have deliberately tailored lab experiences to suit </w:t>
            </w:r>
            <w:r>
              <w:rPr>
                <w:rFonts w:ascii="Calibri" w:hAnsi="Calibri" w:cs="Calibri"/>
                <w:sz w:val="22"/>
              </w:rPr>
              <w:t>“</w:t>
            </w:r>
            <w:r w:rsidRPr="001A6902">
              <w:rPr>
                <w:rFonts w:ascii="Calibri" w:hAnsi="Calibri" w:cs="Calibri"/>
                <w:sz w:val="22"/>
              </w:rPr>
              <w:t>planet</w:t>
            </w:r>
            <w:r>
              <w:rPr>
                <w:rFonts w:ascii="Calibri" w:hAnsi="Calibri" w:cs="Calibri"/>
                <w:sz w:val="22"/>
              </w:rPr>
              <w:t xml:space="preserve"> unit”</w:t>
            </w:r>
            <w:r w:rsidRPr="001A6902">
              <w:rPr>
                <w:rFonts w:ascii="Calibri" w:hAnsi="Calibri" w:cs="Calibri"/>
                <w:sz w:val="22"/>
              </w:rPr>
              <w:t xml:space="preserve"> students.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2.4</w:t>
            </w:r>
          </w:p>
        </w:tc>
        <w:tc>
          <w:tcPr>
            <w:tcW w:w="3612" w:type="dxa"/>
          </w:tcPr>
          <w:p w:rsidR="00F42038" w:rsidRPr="001A6902" w:rsidRDefault="00F42038" w:rsidP="003A6025">
            <w:pPr>
              <w:rPr>
                <w:rFonts w:ascii="Calibri" w:hAnsi="Calibri"/>
              </w:rPr>
            </w:pPr>
            <w:r w:rsidRPr="001A6902">
              <w:rPr>
                <w:rFonts w:ascii="Calibri" w:hAnsi="Calibri"/>
                <w:sz w:val="22"/>
                <w:szCs w:val="22"/>
              </w:rPr>
              <w:t xml:space="preserve">In the light of the small enrolments in the advanced program the Panel recommends that the Department investigates alternative less staff-intensive options which meet the same very positive outcomes identified by the students  </w:t>
            </w:r>
          </w:p>
        </w:tc>
        <w:tc>
          <w:tcPr>
            <w:tcW w:w="1802" w:type="dxa"/>
          </w:tcPr>
          <w:p w:rsidR="00F42038" w:rsidRPr="001A6902" w:rsidRDefault="00F42038" w:rsidP="007F5CAD">
            <w:pPr>
              <w:rPr>
                <w:rFonts w:ascii="Calibri" w:hAnsi="Calibri" w:cs="Calibri"/>
              </w:rPr>
            </w:pPr>
            <w:proofErr w:type="spellStart"/>
            <w:r w:rsidRPr="001A6902">
              <w:rPr>
                <w:rFonts w:ascii="Calibri" w:hAnsi="Calibri" w:cs="Calibri"/>
                <w:sz w:val="22"/>
                <w:szCs w:val="22"/>
              </w:rPr>
              <w:t>HoD</w:t>
            </w:r>
            <w:proofErr w:type="spellEnd"/>
            <w:r w:rsidRPr="001A6902">
              <w:rPr>
                <w:rFonts w:ascii="Calibri" w:hAnsi="Calibri" w:cs="Calibri"/>
                <w:sz w:val="22"/>
                <w:szCs w:val="22"/>
              </w:rPr>
              <w:t xml:space="preserve"> and TLC reps</w:t>
            </w:r>
          </w:p>
        </w:tc>
        <w:tc>
          <w:tcPr>
            <w:tcW w:w="7654" w:type="dxa"/>
          </w:tcPr>
          <w:p w:rsidR="00F42038" w:rsidRPr="001A6902" w:rsidRDefault="00F42038" w:rsidP="003A6025">
            <w:pPr>
              <w:rPr>
                <w:rFonts w:ascii="Calibri" w:hAnsi="Calibri" w:cs="Calibri"/>
              </w:rPr>
            </w:pPr>
            <w:r w:rsidRPr="001A6902">
              <w:rPr>
                <w:rFonts w:ascii="Calibri" w:hAnsi="Calibri" w:cs="Calibri"/>
                <w:sz w:val="22"/>
                <w:szCs w:val="22"/>
              </w:rPr>
              <w:t>From</w:t>
            </w:r>
            <w:r w:rsidRPr="001A6902">
              <w:rPr>
                <w:rFonts w:ascii="Calibri" w:hAnsi="Calibri" w:cs="Calibri"/>
                <w:b/>
                <w:sz w:val="22"/>
                <w:szCs w:val="22"/>
              </w:rPr>
              <w:t xml:space="preserve"> </w:t>
            </w:r>
            <w:r w:rsidRPr="001A6902">
              <w:rPr>
                <w:rFonts w:ascii="Calibri" w:hAnsi="Calibri" w:cs="Calibri"/>
                <w:sz w:val="22"/>
                <w:szCs w:val="22"/>
              </w:rPr>
              <w:t>2013</w:t>
            </w:r>
            <w:r w:rsidR="00415E76">
              <w:rPr>
                <w:rFonts w:ascii="Calibri" w:hAnsi="Calibri" w:cs="Calibri"/>
                <w:sz w:val="22"/>
                <w:szCs w:val="22"/>
              </w:rPr>
              <w:t>,</w:t>
            </w:r>
            <w:r w:rsidRPr="001A6902">
              <w:rPr>
                <w:rFonts w:ascii="Calibri" w:hAnsi="Calibri" w:cs="Calibri"/>
                <w:sz w:val="22"/>
                <w:szCs w:val="22"/>
              </w:rPr>
              <w:t xml:space="preserve"> PHYS246 and 388 will be</w:t>
            </w:r>
            <w:r w:rsidRPr="001A6902">
              <w:rPr>
                <w:rFonts w:ascii="Calibri" w:hAnsi="Calibri" w:cs="Calibri"/>
                <w:i/>
                <w:sz w:val="22"/>
                <w:szCs w:val="22"/>
              </w:rPr>
              <w:t xml:space="preserve"> </w:t>
            </w:r>
            <w:r w:rsidRPr="001A6902">
              <w:rPr>
                <w:rFonts w:ascii="Calibri" w:hAnsi="Calibri" w:cs="Calibri"/>
                <w:sz w:val="22"/>
                <w:szCs w:val="22"/>
              </w:rPr>
              <w:t xml:space="preserve">co-taught with content </w:t>
            </w:r>
            <w:r>
              <w:rPr>
                <w:rFonts w:ascii="Calibri" w:hAnsi="Calibri" w:cs="Calibri"/>
                <w:sz w:val="22"/>
                <w:szCs w:val="22"/>
              </w:rPr>
              <w:t>alternating from year to y</w:t>
            </w:r>
            <w:r w:rsidR="00415E76">
              <w:rPr>
                <w:rFonts w:ascii="Calibri" w:hAnsi="Calibri" w:cs="Calibri"/>
                <w:sz w:val="22"/>
                <w:szCs w:val="22"/>
              </w:rPr>
              <w:t>ear. The BSc A</w:t>
            </w:r>
            <w:r w:rsidRPr="001A6902">
              <w:rPr>
                <w:rFonts w:ascii="Calibri" w:hAnsi="Calibri" w:cs="Calibri"/>
                <w:sz w:val="22"/>
                <w:szCs w:val="22"/>
              </w:rPr>
              <w:t>dvanced cohort appears to be growing, so we hope to be able to change this arrangement in the future.</w:t>
            </w:r>
          </w:p>
          <w:p w:rsidR="00F42038" w:rsidRPr="001A6902" w:rsidRDefault="00F42038" w:rsidP="003A6025">
            <w:pPr>
              <w:rPr>
                <w:rFonts w:ascii="Calibri" w:hAnsi="Calibri" w:cs="Calibri"/>
              </w:rPr>
            </w:pPr>
            <w:r w:rsidRPr="001A6902">
              <w:rPr>
                <w:rFonts w:ascii="Calibri" w:hAnsi="Calibri" w:cs="Calibri"/>
                <w:sz w:val="22"/>
              </w:rPr>
              <w:t>Mentoring is offered to some students, and we would like to expan</w:t>
            </w:r>
            <w:r w:rsidR="00415E76">
              <w:rPr>
                <w:rFonts w:ascii="Calibri" w:hAnsi="Calibri" w:cs="Calibri"/>
                <w:sz w:val="22"/>
              </w:rPr>
              <w:t>d this program</w:t>
            </w:r>
            <w:r w:rsidRPr="001A6902">
              <w:rPr>
                <w:rFonts w:ascii="Calibri" w:hAnsi="Calibri" w:cs="Calibri"/>
                <w:sz w:val="22"/>
              </w:rPr>
              <w:t>.</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2.5</w:t>
            </w:r>
          </w:p>
        </w:tc>
        <w:tc>
          <w:tcPr>
            <w:tcW w:w="3612" w:type="dxa"/>
          </w:tcPr>
          <w:p w:rsidR="00F42038" w:rsidRPr="001A6902" w:rsidRDefault="00F42038" w:rsidP="003A6025">
            <w:pPr>
              <w:rPr>
                <w:rFonts w:ascii="Calibri" w:hAnsi="Calibri"/>
              </w:rPr>
            </w:pPr>
            <w:r w:rsidRPr="001A6902">
              <w:rPr>
                <w:rFonts w:ascii="Calibri" w:hAnsi="Calibri"/>
                <w:sz w:val="22"/>
                <w:szCs w:val="22"/>
              </w:rPr>
              <w:t xml:space="preserve">Given the issues around service </w:t>
            </w:r>
            <w:r w:rsidRPr="001A6902">
              <w:rPr>
                <w:rFonts w:ascii="Calibri" w:hAnsi="Calibri"/>
                <w:sz w:val="22"/>
                <w:szCs w:val="22"/>
              </w:rPr>
              <w:lastRenderedPageBreak/>
              <w:t>teaching to engineering students and new opportunities in expanding mathematics offerings, the Panel recommends the development of a regular consultation schedule with the collaborating degree programs and service programs</w:t>
            </w:r>
          </w:p>
        </w:tc>
        <w:tc>
          <w:tcPr>
            <w:tcW w:w="1802" w:type="dxa"/>
          </w:tcPr>
          <w:p w:rsidR="00F42038" w:rsidRPr="001A6902" w:rsidRDefault="00F42038" w:rsidP="003A6025">
            <w:pPr>
              <w:rPr>
                <w:rFonts w:ascii="Calibri" w:hAnsi="Calibri" w:cs="Calibri"/>
              </w:rPr>
            </w:pPr>
            <w:proofErr w:type="spellStart"/>
            <w:r w:rsidRPr="001A6902">
              <w:rPr>
                <w:rFonts w:ascii="Calibri" w:hAnsi="Calibri" w:cs="Calibri"/>
                <w:sz w:val="22"/>
                <w:szCs w:val="22"/>
              </w:rPr>
              <w:lastRenderedPageBreak/>
              <w:t>HoD</w:t>
            </w:r>
            <w:proofErr w:type="spellEnd"/>
            <w:r w:rsidRPr="001A6902">
              <w:rPr>
                <w:rFonts w:ascii="Calibri" w:hAnsi="Calibri" w:cs="Calibri"/>
                <w:sz w:val="22"/>
                <w:szCs w:val="22"/>
              </w:rPr>
              <w:t xml:space="preserve"> and </w:t>
            </w:r>
            <w:r w:rsidRPr="001A6902">
              <w:rPr>
                <w:rFonts w:ascii="Calibri" w:hAnsi="Calibri" w:cs="Calibri"/>
                <w:sz w:val="22"/>
                <w:szCs w:val="22"/>
              </w:rPr>
              <w:lastRenderedPageBreak/>
              <w:t xml:space="preserve">academic staff responsible for service units </w:t>
            </w:r>
          </w:p>
        </w:tc>
        <w:tc>
          <w:tcPr>
            <w:tcW w:w="7654" w:type="dxa"/>
          </w:tcPr>
          <w:p w:rsidR="00F42038" w:rsidRPr="001A6902" w:rsidRDefault="00F42038" w:rsidP="00415E76">
            <w:pPr>
              <w:rPr>
                <w:rFonts w:ascii="Calibri" w:hAnsi="Calibri" w:cs="Calibri"/>
                <w:i/>
                <w:u w:val="single"/>
              </w:rPr>
            </w:pPr>
            <w:r w:rsidRPr="001A6902">
              <w:rPr>
                <w:rFonts w:ascii="Calibri" w:hAnsi="Calibri" w:cs="Calibri"/>
                <w:sz w:val="22"/>
                <w:szCs w:val="22"/>
              </w:rPr>
              <w:lastRenderedPageBreak/>
              <w:t xml:space="preserve">One meeting between </w:t>
            </w:r>
            <w:proofErr w:type="spellStart"/>
            <w:r w:rsidRPr="001A6902">
              <w:rPr>
                <w:rFonts w:ascii="Calibri" w:hAnsi="Calibri" w:cs="Calibri"/>
                <w:sz w:val="22"/>
                <w:szCs w:val="22"/>
              </w:rPr>
              <w:t>HoDs</w:t>
            </w:r>
            <w:proofErr w:type="spellEnd"/>
            <w:r>
              <w:rPr>
                <w:rFonts w:ascii="Calibri" w:hAnsi="Calibri" w:cs="Calibri"/>
                <w:sz w:val="22"/>
                <w:szCs w:val="22"/>
              </w:rPr>
              <w:t xml:space="preserve"> of Physics and Engineering</w:t>
            </w:r>
            <w:r w:rsidRPr="001A6902">
              <w:rPr>
                <w:rFonts w:ascii="Calibri" w:hAnsi="Calibri" w:cs="Calibri"/>
                <w:sz w:val="22"/>
                <w:szCs w:val="22"/>
              </w:rPr>
              <w:t xml:space="preserve">, Engineering </w:t>
            </w:r>
            <w:r w:rsidRPr="001A6902">
              <w:rPr>
                <w:rFonts w:ascii="Calibri" w:hAnsi="Calibri" w:cs="Calibri"/>
                <w:sz w:val="22"/>
                <w:szCs w:val="22"/>
              </w:rPr>
              <w:lastRenderedPageBreak/>
              <w:t>representatives, and</w:t>
            </w:r>
            <w:r w:rsidR="00415E76">
              <w:rPr>
                <w:rFonts w:ascii="Calibri" w:hAnsi="Calibri" w:cs="Calibri"/>
                <w:sz w:val="22"/>
                <w:szCs w:val="22"/>
              </w:rPr>
              <w:t xml:space="preserve"> Physics </w:t>
            </w:r>
            <w:r w:rsidRPr="001A6902">
              <w:rPr>
                <w:rFonts w:ascii="Calibri" w:hAnsi="Calibri" w:cs="Calibri"/>
                <w:sz w:val="22"/>
                <w:szCs w:val="22"/>
              </w:rPr>
              <w:t>lecturing staff in Physics 143 and 140 in January discussed unit content and e</w:t>
            </w:r>
            <w:r w:rsidR="00415E76">
              <w:rPr>
                <w:rFonts w:ascii="Calibri" w:hAnsi="Calibri" w:cs="Calibri"/>
                <w:sz w:val="22"/>
                <w:szCs w:val="22"/>
              </w:rPr>
              <w:t>stablished an assessment plan</w:t>
            </w:r>
            <w:r w:rsidRPr="001A6902">
              <w:rPr>
                <w:rFonts w:ascii="Calibri" w:hAnsi="Calibri" w:cs="Calibri"/>
                <w:sz w:val="22"/>
                <w:szCs w:val="22"/>
              </w:rPr>
              <w:t xml:space="preserve"> which supports Engineering accreditation. A further meeting of PHYS143 and PHYS140 lecturing staff with their colleagues in Engineering is planned fo</w:t>
            </w:r>
            <w:r w:rsidR="00415E76">
              <w:rPr>
                <w:rFonts w:ascii="Calibri" w:hAnsi="Calibri" w:cs="Calibri"/>
                <w:sz w:val="22"/>
                <w:szCs w:val="22"/>
              </w:rPr>
              <w:t>r later in semester 1. M</w:t>
            </w:r>
            <w:r w:rsidRPr="001A6902">
              <w:rPr>
                <w:rFonts w:ascii="Calibri" w:hAnsi="Calibri" w:cs="Calibri"/>
                <w:sz w:val="22"/>
                <w:szCs w:val="22"/>
              </w:rPr>
              <w:t xml:space="preserve">eetings between new </w:t>
            </w:r>
            <w:proofErr w:type="spellStart"/>
            <w:r w:rsidRPr="001A6902">
              <w:rPr>
                <w:rFonts w:ascii="Calibri" w:hAnsi="Calibri" w:cs="Calibri"/>
                <w:sz w:val="22"/>
                <w:szCs w:val="22"/>
              </w:rPr>
              <w:t>HoD</w:t>
            </w:r>
            <w:proofErr w:type="spellEnd"/>
            <w:r w:rsidRPr="001A6902">
              <w:rPr>
                <w:rFonts w:ascii="Calibri" w:hAnsi="Calibri" w:cs="Calibri"/>
                <w:sz w:val="22"/>
                <w:szCs w:val="22"/>
              </w:rPr>
              <w:t xml:space="preserve"> E</w:t>
            </w:r>
            <w:r w:rsidR="00415E76">
              <w:rPr>
                <w:rFonts w:ascii="Calibri" w:hAnsi="Calibri" w:cs="Calibri"/>
                <w:sz w:val="22"/>
                <w:szCs w:val="22"/>
              </w:rPr>
              <w:t xml:space="preserve">ngineering and </w:t>
            </w:r>
            <w:proofErr w:type="spellStart"/>
            <w:r w:rsidR="00415E76">
              <w:rPr>
                <w:rFonts w:ascii="Calibri" w:hAnsi="Calibri" w:cs="Calibri"/>
                <w:sz w:val="22"/>
                <w:szCs w:val="22"/>
              </w:rPr>
              <w:t>HoD</w:t>
            </w:r>
            <w:proofErr w:type="spellEnd"/>
            <w:r w:rsidR="00415E76">
              <w:rPr>
                <w:rFonts w:ascii="Calibri" w:hAnsi="Calibri" w:cs="Calibri"/>
                <w:sz w:val="22"/>
                <w:szCs w:val="22"/>
              </w:rPr>
              <w:t xml:space="preserve"> Physics occur as needed</w:t>
            </w:r>
            <w:r w:rsidRPr="001A6902">
              <w:rPr>
                <w:rFonts w:ascii="Calibri" w:hAnsi="Calibri" w:cs="Calibri"/>
                <w:sz w:val="22"/>
                <w:szCs w:val="22"/>
              </w:rPr>
              <w:t>. Physics</w:t>
            </w:r>
            <w:r>
              <w:rPr>
                <w:rFonts w:ascii="Calibri" w:hAnsi="Calibri" w:cs="Calibri"/>
                <w:sz w:val="22"/>
                <w:szCs w:val="22"/>
              </w:rPr>
              <w:t>,</w:t>
            </w:r>
            <w:r w:rsidRPr="001A6902">
              <w:rPr>
                <w:rFonts w:ascii="Calibri" w:hAnsi="Calibri" w:cs="Calibri"/>
                <w:sz w:val="22"/>
                <w:szCs w:val="22"/>
              </w:rPr>
              <w:t xml:space="preserve"> Engineering and Maths jointly ran a teaching seminar on online learning in February. We wo</w:t>
            </w:r>
            <w:r w:rsidR="00415E76">
              <w:rPr>
                <w:rFonts w:ascii="Calibri" w:hAnsi="Calibri" w:cs="Calibri"/>
                <w:sz w:val="22"/>
                <w:szCs w:val="22"/>
              </w:rPr>
              <w:t>uld like to see an Engineering Management C</w:t>
            </w:r>
            <w:r w:rsidRPr="001A6902">
              <w:rPr>
                <w:rFonts w:ascii="Calibri" w:hAnsi="Calibri" w:cs="Calibri"/>
                <w:sz w:val="22"/>
                <w:szCs w:val="22"/>
              </w:rPr>
              <w:t xml:space="preserve">ommittee formalised for liaison between the </w:t>
            </w:r>
            <w:r w:rsidR="002574DC">
              <w:rPr>
                <w:rFonts w:ascii="Calibri" w:hAnsi="Calibri" w:cs="Calibri"/>
                <w:sz w:val="22"/>
                <w:szCs w:val="22"/>
              </w:rPr>
              <w:t>Department</w:t>
            </w:r>
            <w:r w:rsidRPr="001A6902">
              <w:rPr>
                <w:rFonts w:ascii="Calibri" w:hAnsi="Calibri" w:cs="Calibri"/>
                <w:sz w:val="22"/>
                <w:szCs w:val="22"/>
              </w:rPr>
              <w:t xml:space="preserve">s that support Engineering teaching. </w:t>
            </w:r>
          </w:p>
        </w:tc>
      </w:tr>
    </w:tbl>
    <w:p w:rsidR="00F42038" w:rsidRPr="001A6902" w:rsidRDefault="00F42038" w:rsidP="002518FE">
      <w:pPr>
        <w:rPr>
          <w:sz w:val="22"/>
        </w:rPr>
      </w:pPr>
    </w:p>
    <w:p w:rsidR="00F42038" w:rsidRPr="001A6902" w:rsidRDefault="00F42038">
      <w:pPr>
        <w:spacing w:after="200" w:line="276" w:lineRule="auto"/>
        <w:rPr>
          <w:sz w:val="22"/>
        </w:rPr>
      </w:pPr>
    </w:p>
    <w:p w:rsidR="00F42038" w:rsidRPr="001A6902" w:rsidRDefault="00F42038">
      <w:pPr>
        <w:spacing w:after="200" w:line="276" w:lineRule="auto"/>
        <w:rPr>
          <w:rFonts w:ascii="Arial" w:hAnsi="Arial" w:cs="Arial"/>
          <w:b/>
          <w:bCs/>
          <w:sz w:val="22"/>
          <w:szCs w:val="26"/>
        </w:rPr>
      </w:pPr>
    </w:p>
    <w:p w:rsidR="00F42038" w:rsidRPr="001A6902" w:rsidRDefault="00F42038" w:rsidP="002518FE">
      <w:pPr>
        <w:pStyle w:val="Heading3"/>
        <w:numPr>
          <w:ilvl w:val="0"/>
          <w:numId w:val="1"/>
        </w:numPr>
        <w:rPr>
          <w:sz w:val="22"/>
        </w:rPr>
      </w:pPr>
      <w:r w:rsidRPr="001A6902">
        <w:rPr>
          <w:sz w:val="22"/>
        </w:rPr>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F42038" w:rsidRPr="001A6902" w:rsidTr="003A6025">
        <w:tc>
          <w:tcPr>
            <w:tcW w:w="648" w:type="dxa"/>
          </w:tcPr>
          <w:p w:rsidR="00F42038" w:rsidRPr="001A6902" w:rsidRDefault="00F42038" w:rsidP="003A6025">
            <w:pPr>
              <w:jc w:val="center"/>
              <w:rPr>
                <w:rFonts w:ascii="Calibri" w:hAnsi="Calibri"/>
                <w:b/>
                <w:szCs w:val="20"/>
              </w:rPr>
            </w:pPr>
            <w:r w:rsidRPr="001A6902">
              <w:rPr>
                <w:rFonts w:ascii="Calibri" w:hAnsi="Calibri"/>
                <w:b/>
                <w:sz w:val="22"/>
                <w:szCs w:val="20"/>
              </w:rPr>
              <w:t>Rec No.</w:t>
            </w:r>
          </w:p>
        </w:tc>
        <w:tc>
          <w:tcPr>
            <w:tcW w:w="3612" w:type="dxa"/>
          </w:tcPr>
          <w:p w:rsidR="00F42038" w:rsidRPr="001A6902" w:rsidRDefault="00F42038" w:rsidP="003A6025">
            <w:pPr>
              <w:jc w:val="center"/>
              <w:rPr>
                <w:rFonts w:ascii="Calibri" w:hAnsi="Calibri"/>
                <w:b/>
                <w:szCs w:val="20"/>
              </w:rPr>
            </w:pPr>
            <w:r w:rsidRPr="001A6902">
              <w:rPr>
                <w:rFonts w:ascii="Calibri" w:hAnsi="Calibri"/>
                <w:b/>
                <w:sz w:val="22"/>
                <w:szCs w:val="20"/>
              </w:rPr>
              <w:t>Recommendation</w:t>
            </w:r>
          </w:p>
        </w:tc>
        <w:tc>
          <w:tcPr>
            <w:tcW w:w="1802" w:type="dxa"/>
          </w:tcPr>
          <w:p w:rsidR="00F42038" w:rsidRPr="001A6902" w:rsidRDefault="00F42038" w:rsidP="003A6025">
            <w:pPr>
              <w:jc w:val="center"/>
              <w:rPr>
                <w:rFonts w:ascii="Calibri" w:hAnsi="Calibri"/>
                <w:b/>
                <w:szCs w:val="20"/>
              </w:rPr>
            </w:pPr>
            <w:r w:rsidRPr="001A6902">
              <w:rPr>
                <w:rFonts w:ascii="Calibri" w:hAnsi="Calibri"/>
                <w:b/>
                <w:sz w:val="22"/>
                <w:szCs w:val="20"/>
              </w:rPr>
              <w:t>Responsibility</w:t>
            </w:r>
          </w:p>
        </w:tc>
        <w:tc>
          <w:tcPr>
            <w:tcW w:w="7654" w:type="dxa"/>
          </w:tcPr>
          <w:p w:rsidR="00F42038" w:rsidRPr="001A6902" w:rsidRDefault="00F42038" w:rsidP="003A6025">
            <w:pPr>
              <w:jc w:val="center"/>
              <w:rPr>
                <w:rFonts w:ascii="Calibri" w:hAnsi="Calibri"/>
                <w:b/>
                <w:szCs w:val="20"/>
              </w:rPr>
            </w:pPr>
            <w:r w:rsidRPr="001A6902">
              <w:rPr>
                <w:rFonts w:ascii="Calibri" w:hAnsi="Calibri"/>
                <w:b/>
                <w:sz w:val="22"/>
                <w:szCs w:val="20"/>
              </w:rPr>
              <w:t>Planned Response</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3.1</w:t>
            </w:r>
          </w:p>
        </w:tc>
        <w:tc>
          <w:tcPr>
            <w:tcW w:w="3612" w:type="dxa"/>
          </w:tcPr>
          <w:p w:rsidR="00F42038" w:rsidRPr="001A6902" w:rsidRDefault="00F42038" w:rsidP="003A6025">
            <w:pPr>
              <w:rPr>
                <w:rFonts w:ascii="Calibri" w:hAnsi="Calibri"/>
              </w:rPr>
            </w:pPr>
            <w:r w:rsidRPr="001A6902">
              <w:rPr>
                <w:rFonts w:ascii="Calibri" w:hAnsi="Calibri"/>
                <w:sz w:val="22"/>
                <w:szCs w:val="22"/>
              </w:rPr>
              <w:t>The Department should seek out opportunities to consolidate research infrastructure with other groups on campus to ensure ongoing support and growth</w:t>
            </w:r>
          </w:p>
        </w:tc>
        <w:tc>
          <w:tcPr>
            <w:tcW w:w="1802" w:type="dxa"/>
          </w:tcPr>
          <w:p w:rsidR="00F42038" w:rsidRPr="001A6902" w:rsidRDefault="00415E76" w:rsidP="003A6025">
            <w:pPr>
              <w:rPr>
                <w:rFonts w:ascii="Calibri" w:hAnsi="Calibri" w:cs="Calibri"/>
              </w:rPr>
            </w:pPr>
            <w:proofErr w:type="spellStart"/>
            <w:r>
              <w:rPr>
                <w:rFonts w:ascii="Calibri" w:hAnsi="Calibri" w:cs="Calibri"/>
                <w:sz w:val="22"/>
                <w:szCs w:val="22"/>
              </w:rPr>
              <w:t>HoD</w:t>
            </w:r>
            <w:proofErr w:type="spellEnd"/>
            <w:r>
              <w:rPr>
                <w:rFonts w:ascii="Calibri" w:hAnsi="Calibri" w:cs="Calibri"/>
                <w:sz w:val="22"/>
                <w:szCs w:val="22"/>
              </w:rPr>
              <w:t xml:space="preserve">, </w:t>
            </w:r>
            <w:r w:rsidR="00F42038" w:rsidRPr="001A6902">
              <w:rPr>
                <w:rFonts w:ascii="Calibri" w:hAnsi="Calibri" w:cs="Calibri"/>
                <w:sz w:val="22"/>
                <w:szCs w:val="22"/>
              </w:rPr>
              <w:t>academic staff and technical manager</w:t>
            </w:r>
          </w:p>
        </w:tc>
        <w:tc>
          <w:tcPr>
            <w:tcW w:w="7654" w:type="dxa"/>
          </w:tcPr>
          <w:p w:rsidR="00F42038" w:rsidRPr="001A6902" w:rsidRDefault="00F42038" w:rsidP="00FC30D8">
            <w:pPr>
              <w:rPr>
                <w:rFonts w:ascii="Calibri" w:hAnsi="Calibri" w:cs="Calibri"/>
              </w:rPr>
            </w:pPr>
            <w:r w:rsidRPr="001A6902">
              <w:rPr>
                <w:rFonts w:ascii="Calibri" w:hAnsi="Calibri" w:cs="Calibri"/>
                <w:sz w:val="22"/>
                <w:szCs w:val="22"/>
              </w:rPr>
              <w:t>Hearing hub infrastructure is integrated t</w:t>
            </w:r>
            <w:r w:rsidR="00FC30D8">
              <w:rPr>
                <w:rFonts w:ascii="Calibri" w:hAnsi="Calibri" w:cs="Calibri"/>
                <w:sz w:val="22"/>
                <w:szCs w:val="22"/>
              </w:rPr>
              <w:t>o an extent. Collaboration with the Microscopy unit is also effective, (</w:t>
            </w:r>
            <w:proofErr w:type="spellStart"/>
            <w:r w:rsidR="00FC30D8">
              <w:rPr>
                <w:rFonts w:ascii="Calibri" w:hAnsi="Calibri" w:cs="Calibri"/>
                <w:sz w:val="22"/>
                <w:szCs w:val="22"/>
              </w:rPr>
              <w:t>eg</w:t>
            </w:r>
            <w:proofErr w:type="spellEnd"/>
            <w:r w:rsidR="00FC30D8">
              <w:rPr>
                <w:rFonts w:ascii="Calibri" w:hAnsi="Calibri" w:cs="Calibri"/>
                <w:sz w:val="22"/>
                <w:szCs w:val="22"/>
              </w:rPr>
              <w:t xml:space="preserve"> joint bid for a FESEM) but there is scope for much more engagement with members of the Department</w:t>
            </w:r>
            <w:r w:rsidRPr="001A6902">
              <w:rPr>
                <w:rFonts w:ascii="Calibri" w:hAnsi="Calibri" w:cs="Calibri"/>
                <w:sz w:val="22"/>
                <w:szCs w:val="22"/>
              </w:rPr>
              <w:t xml:space="preserve">. We identify a need for </w:t>
            </w:r>
            <w:proofErr w:type="gramStart"/>
            <w:r w:rsidRPr="001A6902">
              <w:rPr>
                <w:rFonts w:ascii="Calibri" w:hAnsi="Calibri" w:cs="Calibri"/>
                <w:sz w:val="22"/>
                <w:szCs w:val="22"/>
              </w:rPr>
              <w:t>a liquid</w:t>
            </w:r>
            <w:proofErr w:type="gramEnd"/>
            <w:r w:rsidRPr="001A6902">
              <w:rPr>
                <w:rFonts w:ascii="Calibri" w:hAnsi="Calibri" w:cs="Calibri"/>
                <w:sz w:val="22"/>
                <w:szCs w:val="22"/>
              </w:rPr>
              <w:t xml:space="preserve"> helium plant (could be placed in F7B aligned with the NMR facility there). The 4 MQ Research Centres in Physics are active in coordinating their research in</w:t>
            </w:r>
            <w:r w:rsidR="00415E76">
              <w:rPr>
                <w:rFonts w:ascii="Calibri" w:hAnsi="Calibri" w:cs="Calibri"/>
                <w:sz w:val="22"/>
                <w:szCs w:val="22"/>
              </w:rPr>
              <w:t>frastructure needs within Physics and</w:t>
            </w:r>
            <w:r w:rsidRPr="001A6902">
              <w:rPr>
                <w:rFonts w:ascii="Calibri" w:hAnsi="Calibri" w:cs="Calibri"/>
                <w:sz w:val="22"/>
                <w:szCs w:val="22"/>
              </w:rPr>
              <w:t xml:space="preserve"> across departments.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3.2</w:t>
            </w:r>
          </w:p>
        </w:tc>
        <w:tc>
          <w:tcPr>
            <w:tcW w:w="3612" w:type="dxa"/>
          </w:tcPr>
          <w:p w:rsidR="00F42038" w:rsidRPr="001A6902" w:rsidRDefault="00F42038" w:rsidP="00694EE1">
            <w:pPr>
              <w:rPr>
                <w:rFonts w:ascii="Calibri" w:hAnsi="Calibri"/>
              </w:rPr>
            </w:pPr>
            <w:r w:rsidRPr="001A6902">
              <w:rPr>
                <w:rFonts w:ascii="Calibri" w:hAnsi="Calibri"/>
                <w:sz w:val="22"/>
                <w:szCs w:val="22"/>
              </w:rPr>
              <w:t>The Department should plan for the development and funding of advanced astronomy facilities to support its leading research effort</w:t>
            </w:r>
          </w:p>
        </w:tc>
        <w:tc>
          <w:tcPr>
            <w:tcW w:w="1802" w:type="dxa"/>
          </w:tcPr>
          <w:p w:rsidR="00F42038" w:rsidRPr="001A6902" w:rsidRDefault="00415E76" w:rsidP="003A6025">
            <w:pPr>
              <w:rPr>
                <w:rFonts w:ascii="Calibri" w:hAnsi="Calibri" w:cs="Calibri"/>
              </w:rPr>
            </w:pPr>
            <w:proofErr w:type="spellStart"/>
            <w:r>
              <w:rPr>
                <w:rFonts w:ascii="Calibri" w:hAnsi="Calibri" w:cs="Calibri"/>
                <w:sz w:val="22"/>
                <w:szCs w:val="22"/>
              </w:rPr>
              <w:t>HoD</w:t>
            </w:r>
            <w:proofErr w:type="spellEnd"/>
            <w:r>
              <w:rPr>
                <w:rFonts w:ascii="Calibri" w:hAnsi="Calibri" w:cs="Calibri"/>
                <w:sz w:val="22"/>
                <w:szCs w:val="22"/>
              </w:rPr>
              <w:t xml:space="preserve">, </w:t>
            </w:r>
            <w:r w:rsidR="00F42038" w:rsidRPr="001A6902">
              <w:rPr>
                <w:rFonts w:ascii="Calibri" w:hAnsi="Calibri" w:cs="Calibri"/>
                <w:sz w:val="22"/>
                <w:szCs w:val="22"/>
              </w:rPr>
              <w:t>MQAASSTRO centre director and Astronomy staff</w:t>
            </w:r>
          </w:p>
        </w:tc>
        <w:tc>
          <w:tcPr>
            <w:tcW w:w="7654" w:type="dxa"/>
          </w:tcPr>
          <w:p w:rsidR="00F42038" w:rsidRPr="001A6902" w:rsidRDefault="00F42038" w:rsidP="003A6025">
            <w:pPr>
              <w:rPr>
                <w:rFonts w:ascii="Calibri" w:hAnsi="Calibri" w:cs="Calibri"/>
              </w:rPr>
            </w:pPr>
            <w:r w:rsidRPr="001A6902">
              <w:rPr>
                <w:rFonts w:ascii="Calibri" w:hAnsi="Calibri" w:cs="Calibri"/>
                <w:sz w:val="22"/>
                <w:szCs w:val="22"/>
              </w:rPr>
              <w:t xml:space="preserve">Joint appointments with AAO and CASS allow access to world class facilities on excellent terms. It would be difficult for us to equal these facilities. There is a continuing threat to our on-campus observatory from light pollution. </w:t>
            </w:r>
          </w:p>
          <w:p w:rsidR="00F42038" w:rsidRPr="001A6902" w:rsidRDefault="00F42038" w:rsidP="0072795E">
            <w:pPr>
              <w:rPr>
                <w:rFonts w:ascii="Calibri" w:hAnsi="Calibri" w:cs="Calibri"/>
              </w:rPr>
            </w:pPr>
            <w:r w:rsidRPr="001A6902">
              <w:rPr>
                <w:rFonts w:ascii="Calibri" w:hAnsi="Calibri" w:cs="Calibri"/>
                <w:sz w:val="22"/>
                <w:szCs w:val="22"/>
              </w:rPr>
              <w:t>For a 5 rated department, we do not as an institution have ownership of a proper research astronomy telescope. Strategic</w:t>
            </w:r>
            <w:r>
              <w:rPr>
                <w:rFonts w:ascii="Calibri" w:hAnsi="Calibri" w:cs="Calibri"/>
                <w:sz w:val="22"/>
                <w:szCs w:val="22"/>
              </w:rPr>
              <w:t xml:space="preserve"> discussions</w:t>
            </w:r>
            <w:r w:rsidRPr="001A6902">
              <w:rPr>
                <w:rFonts w:ascii="Calibri" w:hAnsi="Calibri" w:cs="Calibri"/>
                <w:sz w:val="22"/>
                <w:szCs w:val="22"/>
              </w:rPr>
              <w:t xml:space="preserve"> with MQ AAASTRO </w:t>
            </w:r>
            <w:r w:rsidR="00415E76">
              <w:rPr>
                <w:rFonts w:ascii="Calibri" w:hAnsi="Calibri" w:cs="Calibri"/>
                <w:sz w:val="22"/>
                <w:szCs w:val="22"/>
              </w:rPr>
              <w:t>to consider the</w:t>
            </w:r>
            <w:r>
              <w:rPr>
                <w:rFonts w:ascii="Calibri" w:hAnsi="Calibri" w:cs="Calibri"/>
                <w:sz w:val="22"/>
                <w:szCs w:val="22"/>
              </w:rPr>
              <w:t xml:space="preserve"> recommendation further are planned</w:t>
            </w:r>
            <w:r w:rsidRPr="001A6902">
              <w:rPr>
                <w:rFonts w:ascii="Calibri" w:hAnsi="Calibri" w:cs="Calibri"/>
                <w:sz w:val="22"/>
                <w:szCs w:val="22"/>
              </w:rPr>
              <w:t xml:space="preserve">.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3.3</w:t>
            </w:r>
          </w:p>
        </w:tc>
        <w:tc>
          <w:tcPr>
            <w:tcW w:w="3612" w:type="dxa"/>
          </w:tcPr>
          <w:p w:rsidR="00F42038" w:rsidRPr="001A6902" w:rsidRDefault="00F42038" w:rsidP="00694EE1">
            <w:pPr>
              <w:rPr>
                <w:rFonts w:ascii="Calibri" w:hAnsi="Calibri"/>
              </w:rPr>
            </w:pPr>
            <w:r w:rsidRPr="001A6902">
              <w:rPr>
                <w:rFonts w:ascii="Calibri" w:hAnsi="Calibri"/>
                <w:sz w:val="22"/>
                <w:szCs w:val="22"/>
              </w:rPr>
              <w:t xml:space="preserve">WHS practices should be examined with a view to simplifying risk assessment process and clarifying responsibilities at the researcher / </w:t>
            </w:r>
            <w:r w:rsidRPr="001A6902">
              <w:rPr>
                <w:rFonts w:ascii="Calibri" w:hAnsi="Calibri"/>
                <w:sz w:val="22"/>
                <w:szCs w:val="22"/>
              </w:rPr>
              <w:lastRenderedPageBreak/>
              <w:t>Department / faculty and institution level</w:t>
            </w:r>
          </w:p>
        </w:tc>
        <w:tc>
          <w:tcPr>
            <w:tcW w:w="1802" w:type="dxa"/>
          </w:tcPr>
          <w:p w:rsidR="00F42038" w:rsidRPr="001A6902" w:rsidRDefault="00415E76" w:rsidP="003A6025">
            <w:pPr>
              <w:rPr>
                <w:rFonts w:ascii="Calibri" w:hAnsi="Calibri" w:cs="Calibri"/>
              </w:rPr>
            </w:pPr>
            <w:proofErr w:type="spellStart"/>
            <w:r>
              <w:rPr>
                <w:rFonts w:ascii="Calibri" w:hAnsi="Calibri" w:cs="Calibri"/>
                <w:sz w:val="22"/>
                <w:szCs w:val="22"/>
              </w:rPr>
              <w:lastRenderedPageBreak/>
              <w:t>HoD</w:t>
            </w:r>
            <w:proofErr w:type="spellEnd"/>
            <w:r>
              <w:rPr>
                <w:rFonts w:ascii="Calibri" w:hAnsi="Calibri" w:cs="Calibri"/>
                <w:sz w:val="22"/>
                <w:szCs w:val="22"/>
              </w:rPr>
              <w:t>,</w:t>
            </w:r>
            <w:r w:rsidR="00F42038" w:rsidRPr="001A6902">
              <w:rPr>
                <w:rFonts w:ascii="Calibri" w:hAnsi="Calibri" w:cs="Calibri"/>
                <w:sz w:val="22"/>
                <w:szCs w:val="22"/>
              </w:rPr>
              <w:t xml:space="preserve"> Technical manager and Faculty WHS manager</w:t>
            </w:r>
          </w:p>
        </w:tc>
        <w:tc>
          <w:tcPr>
            <w:tcW w:w="7654" w:type="dxa"/>
          </w:tcPr>
          <w:p w:rsidR="00F42038" w:rsidRPr="001A6902" w:rsidRDefault="00F42038" w:rsidP="003A6025">
            <w:pPr>
              <w:rPr>
                <w:rFonts w:ascii="Calibri" w:hAnsi="Calibri" w:cs="Calibri"/>
              </w:rPr>
            </w:pPr>
            <w:r w:rsidRPr="001A6902">
              <w:rPr>
                <w:rFonts w:ascii="Calibri" w:hAnsi="Calibri" w:cs="Calibri"/>
                <w:sz w:val="22"/>
                <w:szCs w:val="22"/>
              </w:rPr>
              <w:t>Workshops run by Faculty WHS manager are offe</w:t>
            </w:r>
            <w:r w:rsidR="00415E76">
              <w:rPr>
                <w:rFonts w:ascii="Calibri" w:hAnsi="Calibri" w:cs="Calibri"/>
                <w:sz w:val="22"/>
                <w:szCs w:val="22"/>
              </w:rPr>
              <w:t>red to all lab supervisors annually</w:t>
            </w:r>
            <w:r>
              <w:rPr>
                <w:rFonts w:ascii="Calibri" w:hAnsi="Calibri" w:cs="Calibri"/>
                <w:sz w:val="22"/>
                <w:szCs w:val="22"/>
              </w:rPr>
              <w:t>.</w:t>
            </w:r>
            <w:r w:rsidRPr="001A6902">
              <w:rPr>
                <w:rFonts w:ascii="Calibri" w:hAnsi="Calibri" w:cs="Calibri"/>
                <w:sz w:val="22"/>
                <w:szCs w:val="22"/>
              </w:rPr>
              <w:t xml:space="preserve"> Additional workshops </w:t>
            </w:r>
            <w:r>
              <w:rPr>
                <w:rFonts w:ascii="Calibri" w:hAnsi="Calibri" w:cs="Calibri"/>
                <w:sz w:val="22"/>
                <w:szCs w:val="22"/>
              </w:rPr>
              <w:t xml:space="preserve">with academic staff </w:t>
            </w:r>
            <w:r w:rsidRPr="001A6902">
              <w:rPr>
                <w:rFonts w:ascii="Calibri" w:hAnsi="Calibri" w:cs="Calibri"/>
                <w:sz w:val="22"/>
                <w:szCs w:val="22"/>
              </w:rPr>
              <w:t xml:space="preserve">on understanding of the legal position are planned, with discussion in </w:t>
            </w:r>
            <w:r w:rsidR="002574DC">
              <w:rPr>
                <w:rFonts w:ascii="Calibri" w:hAnsi="Calibri" w:cs="Calibri"/>
                <w:sz w:val="22"/>
                <w:szCs w:val="22"/>
              </w:rPr>
              <w:t xml:space="preserve">Department </w:t>
            </w:r>
            <w:r w:rsidRPr="001A6902">
              <w:rPr>
                <w:rFonts w:ascii="Calibri" w:hAnsi="Calibri" w:cs="Calibri"/>
                <w:sz w:val="22"/>
                <w:szCs w:val="22"/>
              </w:rPr>
              <w:t>meetings as a follow-up.</w:t>
            </w:r>
          </w:p>
          <w:p w:rsidR="00F42038" w:rsidRPr="001A6902" w:rsidRDefault="00F42038" w:rsidP="003A6025">
            <w:pPr>
              <w:rPr>
                <w:rFonts w:ascii="Calibri" w:hAnsi="Calibri" w:cs="Calibri"/>
                <w:i/>
              </w:rPr>
            </w:pP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lastRenderedPageBreak/>
              <w:t>3.4</w:t>
            </w:r>
          </w:p>
        </w:tc>
        <w:tc>
          <w:tcPr>
            <w:tcW w:w="3612" w:type="dxa"/>
          </w:tcPr>
          <w:p w:rsidR="00F42038" w:rsidRPr="001A6902" w:rsidRDefault="00F42038" w:rsidP="002A128E">
            <w:pPr>
              <w:rPr>
                <w:rFonts w:ascii="Calibri" w:hAnsi="Calibri"/>
              </w:rPr>
            </w:pPr>
            <w:r w:rsidRPr="001A6902">
              <w:rPr>
                <w:rFonts w:ascii="Calibri" w:hAnsi="Calibri"/>
                <w:sz w:val="22"/>
                <w:szCs w:val="22"/>
              </w:rPr>
              <w:t>A Department or Faculty level IT specialists should be supported to make all 3 popular platforms work for staff to ensure the continuing advanced productivity offered by computer software and hardware</w:t>
            </w:r>
          </w:p>
        </w:tc>
        <w:tc>
          <w:tcPr>
            <w:tcW w:w="1802" w:type="dxa"/>
          </w:tcPr>
          <w:p w:rsidR="00F42038" w:rsidRPr="001A6902" w:rsidRDefault="00F42038" w:rsidP="003A6025">
            <w:pPr>
              <w:rPr>
                <w:rFonts w:ascii="Calibri" w:hAnsi="Calibri" w:cs="Calibri"/>
              </w:rPr>
            </w:pPr>
            <w:proofErr w:type="spellStart"/>
            <w:r w:rsidRPr="001A6902">
              <w:rPr>
                <w:rFonts w:ascii="Calibri" w:hAnsi="Calibri" w:cs="Calibri"/>
                <w:sz w:val="22"/>
                <w:szCs w:val="22"/>
              </w:rPr>
              <w:t>HoD</w:t>
            </w:r>
            <w:proofErr w:type="spellEnd"/>
            <w:r w:rsidRPr="001A6902">
              <w:rPr>
                <w:rFonts w:ascii="Calibri" w:hAnsi="Calibri" w:cs="Calibri"/>
                <w:sz w:val="22"/>
                <w:szCs w:val="22"/>
              </w:rPr>
              <w:t xml:space="preserve"> and  Exec</w:t>
            </w:r>
            <w:r w:rsidR="00415E76">
              <w:rPr>
                <w:rFonts w:ascii="Calibri" w:hAnsi="Calibri" w:cs="Calibri"/>
                <w:sz w:val="22"/>
                <w:szCs w:val="22"/>
              </w:rPr>
              <w:t>utive</w:t>
            </w:r>
            <w:r w:rsidRPr="001A6902">
              <w:rPr>
                <w:rFonts w:ascii="Calibri" w:hAnsi="Calibri" w:cs="Calibri"/>
                <w:sz w:val="22"/>
                <w:szCs w:val="22"/>
              </w:rPr>
              <w:t xml:space="preserve"> Dean </w:t>
            </w:r>
          </w:p>
        </w:tc>
        <w:tc>
          <w:tcPr>
            <w:tcW w:w="7654" w:type="dxa"/>
          </w:tcPr>
          <w:p w:rsidR="00F42038" w:rsidRPr="001A6902" w:rsidRDefault="002574DC" w:rsidP="0072795E">
            <w:pPr>
              <w:rPr>
                <w:rFonts w:ascii="Calibri" w:hAnsi="Calibri" w:cs="Calibri"/>
                <w:i/>
              </w:rPr>
            </w:pPr>
            <w:r>
              <w:rPr>
                <w:rFonts w:ascii="Calibri" w:hAnsi="Calibri" w:cs="Calibri"/>
                <w:sz w:val="22"/>
                <w:szCs w:val="22"/>
              </w:rPr>
              <w:t>Department</w:t>
            </w:r>
            <w:r w:rsidR="00F42038">
              <w:rPr>
                <w:rFonts w:ascii="Calibri" w:hAnsi="Calibri" w:cs="Calibri"/>
                <w:sz w:val="22"/>
                <w:szCs w:val="22"/>
              </w:rPr>
              <w:t xml:space="preserve"> b</w:t>
            </w:r>
            <w:r w:rsidR="00F42038" w:rsidRPr="001A6902">
              <w:rPr>
                <w:rFonts w:ascii="Calibri" w:hAnsi="Calibri" w:cs="Calibri"/>
                <w:sz w:val="22"/>
                <w:szCs w:val="22"/>
              </w:rPr>
              <w:t xml:space="preserve">udget request for next year will include a </w:t>
            </w:r>
            <w:r w:rsidR="00F42038">
              <w:rPr>
                <w:rFonts w:ascii="Calibri" w:hAnsi="Calibri" w:cs="Calibri"/>
                <w:sz w:val="22"/>
                <w:szCs w:val="22"/>
              </w:rPr>
              <w:t>request for more specialist staff support</w:t>
            </w:r>
            <w:r w:rsidR="00F42038" w:rsidRPr="001A6902">
              <w:rPr>
                <w:rFonts w:ascii="Calibri" w:hAnsi="Calibri" w:cs="Calibri"/>
                <w:sz w:val="22"/>
                <w:szCs w:val="22"/>
              </w:rPr>
              <w:t xml:space="preserve"> within Facul</w:t>
            </w:r>
            <w:r w:rsidR="00F42038">
              <w:rPr>
                <w:rFonts w:ascii="Calibri" w:hAnsi="Calibri" w:cs="Calibri"/>
                <w:sz w:val="22"/>
                <w:szCs w:val="22"/>
              </w:rPr>
              <w:t>ty IT</w:t>
            </w:r>
            <w:r w:rsidR="00F42038" w:rsidRPr="001A6902">
              <w:rPr>
                <w:rFonts w:ascii="Calibri" w:hAnsi="Calibri" w:cs="Calibri"/>
                <w:sz w:val="22"/>
                <w:szCs w:val="22"/>
              </w:rPr>
              <w:t>.</w:t>
            </w:r>
            <w:r w:rsidR="00F42038">
              <w:rPr>
                <w:rFonts w:ascii="Calibri" w:hAnsi="Calibri" w:cs="Calibri"/>
                <w:sz w:val="22"/>
                <w:szCs w:val="22"/>
              </w:rPr>
              <w:t xml:space="preserve"> T</w:t>
            </w:r>
            <w:r w:rsidR="00F42038" w:rsidRPr="001A6902">
              <w:rPr>
                <w:rFonts w:ascii="Calibri" w:hAnsi="Calibri" w:cs="Calibri"/>
                <w:sz w:val="22"/>
                <w:szCs w:val="22"/>
              </w:rPr>
              <w:t xml:space="preserve">his person (or part time people) could be a specialist in some software to provide high level support for Physics researchers.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3.5</w:t>
            </w:r>
          </w:p>
        </w:tc>
        <w:tc>
          <w:tcPr>
            <w:tcW w:w="3612" w:type="dxa"/>
          </w:tcPr>
          <w:p w:rsidR="00F42038" w:rsidRPr="001A6902" w:rsidRDefault="00F42038" w:rsidP="002A128E">
            <w:pPr>
              <w:rPr>
                <w:rFonts w:ascii="Calibri" w:hAnsi="Calibri"/>
              </w:rPr>
            </w:pPr>
            <w:r w:rsidRPr="001A6902">
              <w:rPr>
                <w:rFonts w:ascii="Calibri" w:hAnsi="Calibri"/>
                <w:sz w:val="22"/>
                <w:szCs w:val="22"/>
              </w:rPr>
              <w:t>The Mechanical workshop capacity and processes need to be expanded to meet the increased needs of undergraduate laboratories, research students and researchers</w:t>
            </w:r>
          </w:p>
        </w:tc>
        <w:tc>
          <w:tcPr>
            <w:tcW w:w="1802" w:type="dxa"/>
          </w:tcPr>
          <w:p w:rsidR="00F42038" w:rsidRPr="001A6902" w:rsidRDefault="00F42038" w:rsidP="003A6025">
            <w:pPr>
              <w:rPr>
                <w:rFonts w:ascii="Calibri" w:hAnsi="Calibri" w:cs="Calibri"/>
              </w:rPr>
            </w:pPr>
            <w:r w:rsidRPr="001A6902">
              <w:rPr>
                <w:rFonts w:ascii="Calibri" w:hAnsi="Calibri" w:cs="Calibri"/>
                <w:sz w:val="22"/>
                <w:szCs w:val="22"/>
              </w:rPr>
              <w:t>Workshop manager and Faculty</w:t>
            </w:r>
          </w:p>
        </w:tc>
        <w:tc>
          <w:tcPr>
            <w:tcW w:w="7654" w:type="dxa"/>
          </w:tcPr>
          <w:p w:rsidR="00F42038" w:rsidRPr="001A6902" w:rsidRDefault="00F42038" w:rsidP="0072795E">
            <w:pPr>
              <w:rPr>
                <w:rFonts w:ascii="Calibri" w:hAnsi="Calibri" w:cs="Calibri"/>
                <w:i/>
              </w:rPr>
            </w:pPr>
            <w:r w:rsidRPr="001A6902">
              <w:rPr>
                <w:rFonts w:ascii="Calibri" w:hAnsi="Calibri" w:cs="Calibri"/>
                <w:sz w:val="22"/>
                <w:szCs w:val="22"/>
              </w:rPr>
              <w:t>Workshop load is monitored and decisions made on priorities by manager. The Department is pleased to see new staff recruited in the mechanical side of METS and will lobby for new appointments in the electronics side to meet the demand.</w:t>
            </w:r>
            <w:r w:rsidRPr="001A6902">
              <w:rPr>
                <w:rFonts w:ascii="Calibri" w:hAnsi="Calibri" w:cs="Calibri"/>
                <w:i/>
                <w:sz w:val="22"/>
                <w:szCs w:val="22"/>
              </w:rPr>
              <w:t xml:space="preserve">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3.6</w:t>
            </w:r>
          </w:p>
        </w:tc>
        <w:tc>
          <w:tcPr>
            <w:tcW w:w="3612" w:type="dxa"/>
          </w:tcPr>
          <w:p w:rsidR="00F42038" w:rsidRPr="001A6902" w:rsidRDefault="00F42038" w:rsidP="002A128E">
            <w:pPr>
              <w:rPr>
                <w:rFonts w:ascii="Calibri" w:hAnsi="Calibri"/>
              </w:rPr>
            </w:pPr>
            <w:r w:rsidRPr="001A6902">
              <w:rPr>
                <w:rFonts w:ascii="Calibri" w:hAnsi="Calibri"/>
                <w:sz w:val="22"/>
                <w:szCs w:val="22"/>
              </w:rPr>
              <w:t xml:space="preserve">The Department should institute a benchmarking process </w:t>
            </w:r>
            <w:r w:rsidRPr="001A6902">
              <w:rPr>
                <w:rFonts w:ascii="Calibri" w:hAnsi="Calibri"/>
                <w:color w:val="000000"/>
                <w:sz w:val="22"/>
                <w:szCs w:val="22"/>
              </w:rPr>
              <w:t>against equivalently performing institutions to identify opportunities for improvement in terms of excellence and productivity</w:t>
            </w:r>
          </w:p>
        </w:tc>
        <w:tc>
          <w:tcPr>
            <w:tcW w:w="1802" w:type="dxa"/>
          </w:tcPr>
          <w:p w:rsidR="00F42038" w:rsidRPr="001A6902" w:rsidRDefault="00F42038" w:rsidP="003A6025">
            <w:pPr>
              <w:rPr>
                <w:rFonts w:ascii="Calibri" w:hAnsi="Calibri" w:cs="Calibri"/>
              </w:rPr>
            </w:pPr>
            <w:proofErr w:type="spellStart"/>
            <w:r w:rsidRPr="001A6902">
              <w:rPr>
                <w:rFonts w:ascii="Calibri" w:hAnsi="Calibri" w:cs="Calibri"/>
                <w:sz w:val="22"/>
                <w:szCs w:val="22"/>
              </w:rPr>
              <w:t>HoD</w:t>
            </w:r>
            <w:proofErr w:type="spellEnd"/>
          </w:p>
        </w:tc>
        <w:tc>
          <w:tcPr>
            <w:tcW w:w="7654" w:type="dxa"/>
          </w:tcPr>
          <w:p w:rsidR="00F42038" w:rsidRPr="001A6902" w:rsidRDefault="00F42038" w:rsidP="003A6025">
            <w:pPr>
              <w:rPr>
                <w:rFonts w:ascii="Calibri" w:hAnsi="Calibri" w:cs="Calibri"/>
              </w:rPr>
            </w:pPr>
            <w:r>
              <w:rPr>
                <w:rFonts w:ascii="Calibri" w:hAnsi="Calibri" w:cs="Calibri"/>
                <w:sz w:val="22"/>
                <w:szCs w:val="22"/>
              </w:rPr>
              <w:t>We will consider possibilities for benchmarking in the future.</w:t>
            </w:r>
            <w:r w:rsidRPr="001A6902">
              <w:rPr>
                <w:rFonts w:ascii="Calibri" w:hAnsi="Calibri" w:cs="Calibri"/>
                <w:sz w:val="22"/>
                <w:szCs w:val="22"/>
              </w:rPr>
              <w:t xml:space="preserve"> The </w:t>
            </w:r>
            <w:r w:rsidR="002574DC">
              <w:rPr>
                <w:rFonts w:ascii="Calibri" w:hAnsi="Calibri" w:cs="Calibri"/>
                <w:sz w:val="22"/>
                <w:szCs w:val="22"/>
              </w:rPr>
              <w:t>Department</w:t>
            </w:r>
            <w:r w:rsidRPr="001A6902">
              <w:rPr>
                <w:rFonts w:ascii="Calibri" w:hAnsi="Calibri" w:cs="Calibri"/>
                <w:sz w:val="22"/>
                <w:szCs w:val="22"/>
              </w:rPr>
              <w:t xml:space="preserve"> will be reviewed by the AIP in 2013 for degree accreditation.</w:t>
            </w:r>
          </w:p>
          <w:p w:rsidR="00F42038" w:rsidRPr="001A6902" w:rsidRDefault="00F42038" w:rsidP="00AD7D06">
            <w:pPr>
              <w:rPr>
                <w:rFonts w:ascii="Calibri" w:hAnsi="Calibri" w:cs="Calibri"/>
              </w:rPr>
            </w:pPr>
            <w:r w:rsidRPr="001A6902">
              <w:rPr>
                <w:rFonts w:ascii="Calibri" w:hAnsi="Calibri" w:cs="Calibri"/>
                <w:sz w:val="22"/>
                <w:szCs w:val="22"/>
              </w:rPr>
              <w:t xml:space="preserve">Some ongoing benchmarking already exists within the 4 digit FORC codes in preparation for and analysis of the ERA results and informal benchmarking across nodes of ARC Centres of Excellence is also conducted. </w:t>
            </w:r>
          </w:p>
        </w:tc>
      </w:tr>
    </w:tbl>
    <w:p w:rsidR="00F42038" w:rsidRPr="001A6902" w:rsidRDefault="00F42038" w:rsidP="002518FE">
      <w:pPr>
        <w:rPr>
          <w:sz w:val="22"/>
        </w:rPr>
      </w:pPr>
    </w:p>
    <w:p w:rsidR="00F42038" w:rsidRPr="001A6902" w:rsidRDefault="00F42038" w:rsidP="002518FE">
      <w:pPr>
        <w:rPr>
          <w:sz w:val="22"/>
        </w:rPr>
      </w:pPr>
    </w:p>
    <w:p w:rsidR="00F42038" w:rsidRPr="001A6902" w:rsidRDefault="00F42038" w:rsidP="002A128E">
      <w:pPr>
        <w:pStyle w:val="Heading3"/>
        <w:numPr>
          <w:ilvl w:val="0"/>
          <w:numId w:val="1"/>
        </w:numPr>
        <w:rPr>
          <w:sz w:val="22"/>
        </w:rPr>
      </w:pPr>
      <w:r w:rsidRPr="001A6902">
        <w:rPr>
          <w:sz w:val="22"/>
        </w:rPr>
        <w:t>Research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F42038" w:rsidRPr="001A6902" w:rsidTr="003A6025">
        <w:tc>
          <w:tcPr>
            <w:tcW w:w="648" w:type="dxa"/>
          </w:tcPr>
          <w:p w:rsidR="00F42038" w:rsidRPr="001A6902" w:rsidRDefault="00F42038" w:rsidP="003A6025">
            <w:pPr>
              <w:jc w:val="center"/>
              <w:rPr>
                <w:rFonts w:ascii="Calibri" w:hAnsi="Calibri"/>
                <w:b/>
                <w:szCs w:val="20"/>
              </w:rPr>
            </w:pPr>
            <w:r w:rsidRPr="001A6902">
              <w:rPr>
                <w:rFonts w:ascii="Calibri" w:hAnsi="Calibri"/>
                <w:b/>
                <w:sz w:val="22"/>
                <w:szCs w:val="20"/>
              </w:rPr>
              <w:t>Rec No.</w:t>
            </w:r>
          </w:p>
        </w:tc>
        <w:tc>
          <w:tcPr>
            <w:tcW w:w="3612" w:type="dxa"/>
          </w:tcPr>
          <w:p w:rsidR="00F42038" w:rsidRPr="001A6902" w:rsidRDefault="00F42038" w:rsidP="003A6025">
            <w:pPr>
              <w:jc w:val="center"/>
              <w:rPr>
                <w:rFonts w:ascii="Calibri" w:hAnsi="Calibri"/>
                <w:b/>
                <w:szCs w:val="20"/>
              </w:rPr>
            </w:pPr>
            <w:r w:rsidRPr="001A6902">
              <w:rPr>
                <w:rFonts w:ascii="Calibri" w:hAnsi="Calibri"/>
                <w:b/>
                <w:sz w:val="22"/>
                <w:szCs w:val="20"/>
              </w:rPr>
              <w:t>Recommendation</w:t>
            </w:r>
          </w:p>
        </w:tc>
        <w:tc>
          <w:tcPr>
            <w:tcW w:w="1802" w:type="dxa"/>
          </w:tcPr>
          <w:p w:rsidR="00F42038" w:rsidRPr="001A6902" w:rsidRDefault="00F42038" w:rsidP="003A6025">
            <w:pPr>
              <w:jc w:val="center"/>
              <w:rPr>
                <w:rFonts w:ascii="Calibri" w:hAnsi="Calibri"/>
                <w:b/>
                <w:szCs w:val="20"/>
              </w:rPr>
            </w:pPr>
            <w:r w:rsidRPr="001A6902">
              <w:rPr>
                <w:rFonts w:ascii="Calibri" w:hAnsi="Calibri"/>
                <w:b/>
                <w:sz w:val="22"/>
                <w:szCs w:val="20"/>
              </w:rPr>
              <w:t>Responsibility</w:t>
            </w:r>
          </w:p>
        </w:tc>
        <w:tc>
          <w:tcPr>
            <w:tcW w:w="7654" w:type="dxa"/>
          </w:tcPr>
          <w:p w:rsidR="00F42038" w:rsidRPr="001A6902" w:rsidRDefault="00F42038" w:rsidP="003A6025">
            <w:pPr>
              <w:jc w:val="center"/>
              <w:rPr>
                <w:rFonts w:ascii="Calibri" w:hAnsi="Calibri"/>
                <w:b/>
                <w:szCs w:val="20"/>
              </w:rPr>
            </w:pPr>
            <w:r w:rsidRPr="001A6902">
              <w:rPr>
                <w:rFonts w:ascii="Calibri" w:hAnsi="Calibri"/>
                <w:b/>
                <w:sz w:val="22"/>
                <w:szCs w:val="20"/>
              </w:rPr>
              <w:t>Planned Response</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4.1</w:t>
            </w:r>
          </w:p>
        </w:tc>
        <w:tc>
          <w:tcPr>
            <w:tcW w:w="3612" w:type="dxa"/>
          </w:tcPr>
          <w:p w:rsidR="00F42038" w:rsidRPr="001A6902" w:rsidRDefault="00F42038" w:rsidP="003A6025">
            <w:pPr>
              <w:rPr>
                <w:rFonts w:ascii="Calibri" w:hAnsi="Calibri"/>
              </w:rPr>
            </w:pPr>
            <w:r w:rsidRPr="001A6902">
              <w:rPr>
                <w:rFonts w:ascii="Calibri" w:hAnsi="Calibri"/>
                <w:sz w:val="22"/>
                <w:szCs w:val="22"/>
              </w:rPr>
              <w:t>The Department should institute a formal mentoring scheme for HDR students involving staff unrelated to the students research group</w:t>
            </w:r>
          </w:p>
        </w:tc>
        <w:tc>
          <w:tcPr>
            <w:tcW w:w="1802" w:type="dxa"/>
          </w:tcPr>
          <w:p w:rsidR="00F42038" w:rsidRPr="001A6902" w:rsidRDefault="00F42038" w:rsidP="003A6025">
            <w:pPr>
              <w:rPr>
                <w:rFonts w:ascii="Calibri" w:hAnsi="Calibri" w:cs="Calibri"/>
              </w:rPr>
            </w:pPr>
            <w:proofErr w:type="spellStart"/>
            <w:r w:rsidRPr="001A6902">
              <w:rPr>
                <w:rFonts w:ascii="Calibri" w:hAnsi="Calibri" w:cs="Calibri"/>
                <w:sz w:val="22"/>
                <w:szCs w:val="22"/>
              </w:rPr>
              <w:t>HoD</w:t>
            </w:r>
            <w:proofErr w:type="spellEnd"/>
            <w:r w:rsidRPr="001A6902">
              <w:rPr>
                <w:rFonts w:ascii="Calibri" w:hAnsi="Calibri" w:cs="Calibri"/>
                <w:sz w:val="22"/>
                <w:szCs w:val="22"/>
              </w:rPr>
              <w:t xml:space="preserve"> and HDR director</w:t>
            </w:r>
          </w:p>
        </w:tc>
        <w:tc>
          <w:tcPr>
            <w:tcW w:w="7654" w:type="dxa"/>
          </w:tcPr>
          <w:p w:rsidR="00F42038" w:rsidRPr="001A6902" w:rsidRDefault="00F42038" w:rsidP="002574DC">
            <w:pPr>
              <w:rPr>
                <w:rFonts w:ascii="Calibri" w:hAnsi="Calibri" w:cs="Calibri"/>
              </w:rPr>
            </w:pPr>
            <w:r w:rsidRPr="001A6902">
              <w:rPr>
                <w:rFonts w:ascii="Calibri" w:hAnsi="Calibri" w:cs="Calibri"/>
                <w:sz w:val="22"/>
                <w:szCs w:val="22"/>
              </w:rPr>
              <w:t>We will discuss this with the students themselves to identify a strategy to provide them with more effective mentoring and social engagement within the</w:t>
            </w:r>
            <w:r w:rsidR="002574DC">
              <w:rPr>
                <w:rFonts w:ascii="Calibri" w:hAnsi="Calibri" w:cs="Calibri"/>
                <w:sz w:val="22"/>
                <w:szCs w:val="22"/>
              </w:rPr>
              <w:t xml:space="preserve"> Department</w:t>
            </w:r>
            <w:r w:rsidRPr="001A6902">
              <w:rPr>
                <w:rFonts w:ascii="Calibri" w:hAnsi="Calibri" w:cs="Calibri"/>
                <w:sz w:val="22"/>
                <w:szCs w:val="22"/>
              </w:rPr>
              <w:t>.  We will explore continuing involvement of the annual review panel members with supervisors and students.</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4.2</w:t>
            </w:r>
          </w:p>
        </w:tc>
        <w:tc>
          <w:tcPr>
            <w:tcW w:w="3612" w:type="dxa"/>
          </w:tcPr>
          <w:p w:rsidR="00F42038" w:rsidRPr="001A6902" w:rsidRDefault="00F42038" w:rsidP="003A6025">
            <w:pPr>
              <w:rPr>
                <w:rFonts w:ascii="Calibri" w:hAnsi="Calibri"/>
              </w:rPr>
            </w:pPr>
            <w:r w:rsidRPr="001A6902">
              <w:rPr>
                <w:rFonts w:ascii="Calibri" w:hAnsi="Calibri"/>
                <w:sz w:val="22"/>
                <w:szCs w:val="22"/>
              </w:rPr>
              <w:t xml:space="preserve">Review the rules about how HDR research support funds are allowed to be used to meet the needs of all students.  Current rules appear to </w:t>
            </w:r>
            <w:r w:rsidRPr="001A6902">
              <w:rPr>
                <w:rFonts w:ascii="Calibri" w:hAnsi="Calibri"/>
                <w:sz w:val="22"/>
                <w:szCs w:val="22"/>
              </w:rPr>
              <w:lastRenderedPageBreak/>
              <w:t>disadvantage theory PhD projects relative to experimental</w:t>
            </w:r>
          </w:p>
        </w:tc>
        <w:tc>
          <w:tcPr>
            <w:tcW w:w="1802" w:type="dxa"/>
          </w:tcPr>
          <w:p w:rsidR="00F42038" w:rsidRPr="001A6902" w:rsidRDefault="00F42038" w:rsidP="003A6025">
            <w:pPr>
              <w:rPr>
                <w:rFonts w:ascii="Calibri" w:hAnsi="Calibri" w:cs="Calibri"/>
              </w:rPr>
            </w:pPr>
            <w:r w:rsidRPr="001A6902">
              <w:rPr>
                <w:rFonts w:ascii="Calibri" w:hAnsi="Calibri" w:cs="Calibri"/>
                <w:sz w:val="22"/>
                <w:szCs w:val="22"/>
              </w:rPr>
              <w:lastRenderedPageBreak/>
              <w:t>Faculty AD HDR</w:t>
            </w:r>
          </w:p>
        </w:tc>
        <w:tc>
          <w:tcPr>
            <w:tcW w:w="7654" w:type="dxa"/>
          </w:tcPr>
          <w:p w:rsidR="00F42038" w:rsidRPr="001A6902" w:rsidRDefault="002574DC" w:rsidP="003A6025">
            <w:pPr>
              <w:rPr>
                <w:rFonts w:ascii="Calibri" w:hAnsi="Calibri" w:cs="Calibri"/>
                <w:i/>
              </w:rPr>
            </w:pPr>
            <w:r>
              <w:rPr>
                <w:rFonts w:ascii="Calibri" w:hAnsi="Calibri" w:cs="Calibri"/>
                <w:sz w:val="22"/>
                <w:szCs w:val="22"/>
              </w:rPr>
              <w:t>Department</w:t>
            </w:r>
            <w:r w:rsidR="00F42038" w:rsidRPr="001A6902">
              <w:rPr>
                <w:rFonts w:ascii="Calibri" w:hAnsi="Calibri" w:cs="Calibri"/>
                <w:sz w:val="22"/>
                <w:szCs w:val="22"/>
              </w:rPr>
              <w:t xml:space="preserve"> support is available within current Faculty guidelines. Since theory students do not need to purchase equipment or consumables, their expenditures are usually for travel to workshops or lengthy research visits. Changes </w:t>
            </w:r>
            <w:r w:rsidR="00F42038">
              <w:rPr>
                <w:rFonts w:ascii="Calibri" w:hAnsi="Calibri" w:cs="Calibri"/>
                <w:sz w:val="22"/>
                <w:szCs w:val="22"/>
              </w:rPr>
              <w:t>at Faculty and</w:t>
            </w:r>
            <w:r w:rsidR="00F42038" w:rsidRPr="001A6902">
              <w:rPr>
                <w:rFonts w:ascii="Calibri" w:hAnsi="Calibri" w:cs="Calibri"/>
                <w:sz w:val="22"/>
                <w:szCs w:val="22"/>
              </w:rPr>
              <w:t xml:space="preserve"> university level to travel funding policies have affected the ability of students </w:t>
            </w:r>
            <w:r w:rsidR="00F42038" w:rsidRPr="001A6902">
              <w:rPr>
                <w:rFonts w:ascii="Calibri" w:hAnsi="Calibri" w:cs="Calibri"/>
                <w:sz w:val="22"/>
                <w:szCs w:val="22"/>
              </w:rPr>
              <w:lastRenderedPageBreak/>
              <w:t xml:space="preserve">to do this.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lastRenderedPageBreak/>
              <w:t>4.3</w:t>
            </w:r>
          </w:p>
        </w:tc>
        <w:tc>
          <w:tcPr>
            <w:tcW w:w="3612" w:type="dxa"/>
          </w:tcPr>
          <w:p w:rsidR="00F42038" w:rsidRPr="001A6902" w:rsidRDefault="00F42038" w:rsidP="003A6025">
            <w:pPr>
              <w:rPr>
                <w:rFonts w:ascii="Calibri" w:hAnsi="Calibri"/>
              </w:rPr>
            </w:pPr>
            <w:r w:rsidRPr="001A6902">
              <w:rPr>
                <w:rFonts w:ascii="Calibri" w:hAnsi="Calibri"/>
                <w:sz w:val="22"/>
                <w:szCs w:val="22"/>
              </w:rPr>
              <w:t>The Department and Faculty establish support for access to more than basic software tools such as CAD, ORIGIN, SIGMAPLOT, LABVIEW, IRAF and other speciality software and licences</w:t>
            </w:r>
          </w:p>
        </w:tc>
        <w:tc>
          <w:tcPr>
            <w:tcW w:w="1802" w:type="dxa"/>
          </w:tcPr>
          <w:p w:rsidR="00F42038" w:rsidRPr="001A6902" w:rsidRDefault="00F42038" w:rsidP="003A6025">
            <w:pPr>
              <w:rPr>
                <w:rFonts w:ascii="Calibri" w:hAnsi="Calibri" w:cs="Calibri"/>
              </w:rPr>
            </w:pPr>
            <w:proofErr w:type="spellStart"/>
            <w:r w:rsidRPr="001A6902">
              <w:rPr>
                <w:rFonts w:ascii="Calibri" w:hAnsi="Calibri" w:cs="Calibri"/>
                <w:sz w:val="22"/>
                <w:szCs w:val="22"/>
              </w:rPr>
              <w:t>HoD</w:t>
            </w:r>
            <w:proofErr w:type="spellEnd"/>
            <w:r w:rsidRPr="001A6902">
              <w:rPr>
                <w:rFonts w:ascii="Calibri" w:hAnsi="Calibri" w:cs="Calibri"/>
                <w:sz w:val="22"/>
                <w:szCs w:val="22"/>
              </w:rPr>
              <w:t xml:space="preserve"> and Faculty</w:t>
            </w:r>
          </w:p>
        </w:tc>
        <w:tc>
          <w:tcPr>
            <w:tcW w:w="7654" w:type="dxa"/>
          </w:tcPr>
          <w:p w:rsidR="00F42038" w:rsidRPr="001A6902" w:rsidRDefault="00F42038" w:rsidP="00415E76">
            <w:pPr>
              <w:rPr>
                <w:rFonts w:ascii="Calibri" w:hAnsi="Calibri" w:cs="Calibri"/>
                <w:i/>
              </w:rPr>
            </w:pPr>
            <w:r>
              <w:rPr>
                <w:rFonts w:ascii="Calibri" w:hAnsi="Calibri" w:cs="Calibri"/>
                <w:sz w:val="22"/>
                <w:szCs w:val="22"/>
              </w:rPr>
              <w:t>We will prioriti</w:t>
            </w:r>
            <w:r w:rsidRPr="001A6902">
              <w:rPr>
                <w:rFonts w:ascii="Calibri" w:hAnsi="Calibri" w:cs="Calibri"/>
                <w:sz w:val="22"/>
                <w:szCs w:val="22"/>
              </w:rPr>
              <w:t xml:space="preserve">se our software requests as part of the 2014 budget process. Currently the </w:t>
            </w:r>
            <w:r w:rsidR="002574DC">
              <w:rPr>
                <w:rFonts w:ascii="Calibri" w:hAnsi="Calibri" w:cs="Calibri"/>
                <w:sz w:val="22"/>
                <w:szCs w:val="22"/>
              </w:rPr>
              <w:t>Department</w:t>
            </w:r>
            <w:r w:rsidRPr="001A6902">
              <w:rPr>
                <w:rFonts w:ascii="Calibri" w:hAnsi="Calibri" w:cs="Calibri"/>
                <w:sz w:val="22"/>
                <w:szCs w:val="22"/>
              </w:rPr>
              <w:t xml:space="preserve"> funds some </w:t>
            </w:r>
            <w:r>
              <w:rPr>
                <w:rFonts w:ascii="Calibri" w:hAnsi="Calibri" w:cs="Calibri"/>
                <w:sz w:val="22"/>
                <w:szCs w:val="22"/>
              </w:rPr>
              <w:t xml:space="preserve">teaching </w:t>
            </w:r>
            <w:r w:rsidRPr="001A6902">
              <w:rPr>
                <w:rFonts w:ascii="Calibri" w:hAnsi="Calibri" w:cs="Calibri"/>
                <w:sz w:val="22"/>
                <w:szCs w:val="22"/>
              </w:rPr>
              <w:t>licences</w:t>
            </w:r>
            <w:r w:rsidR="00415E76">
              <w:rPr>
                <w:rFonts w:ascii="Calibri" w:hAnsi="Calibri" w:cs="Calibri"/>
                <w:sz w:val="22"/>
                <w:szCs w:val="22"/>
              </w:rPr>
              <w:t xml:space="preserve"> for software</w:t>
            </w:r>
            <w:r w:rsidRPr="001A6902">
              <w:rPr>
                <w:rFonts w:ascii="Calibri" w:hAnsi="Calibri" w:cs="Calibri"/>
                <w:sz w:val="22"/>
                <w:szCs w:val="22"/>
              </w:rPr>
              <w:t xml:space="preserve"> </w:t>
            </w:r>
            <w:r w:rsidR="00415E76">
              <w:rPr>
                <w:rFonts w:ascii="Calibri" w:hAnsi="Calibri" w:cs="Calibri"/>
                <w:sz w:val="22"/>
                <w:szCs w:val="22"/>
              </w:rPr>
              <w:t>but most software is</w:t>
            </w:r>
            <w:r>
              <w:rPr>
                <w:rFonts w:ascii="Calibri" w:hAnsi="Calibri" w:cs="Calibri"/>
                <w:sz w:val="22"/>
                <w:szCs w:val="22"/>
              </w:rPr>
              <w:t xml:space="preserve"> </w:t>
            </w:r>
            <w:r w:rsidRPr="001A6902">
              <w:rPr>
                <w:rFonts w:ascii="Calibri" w:hAnsi="Calibri" w:cs="Calibri"/>
                <w:sz w:val="22"/>
                <w:szCs w:val="22"/>
              </w:rPr>
              <w:t xml:space="preserve">funded by research grants. This has limited access </w:t>
            </w:r>
            <w:r>
              <w:rPr>
                <w:rFonts w:ascii="Calibri" w:hAnsi="Calibri" w:cs="Calibri"/>
                <w:sz w:val="22"/>
                <w:szCs w:val="22"/>
              </w:rPr>
              <w:t>for some students and staff</w:t>
            </w:r>
            <w:r w:rsidRPr="001A6902">
              <w:rPr>
                <w:rFonts w:ascii="Calibri" w:hAnsi="Calibri" w:cs="Calibri"/>
                <w:sz w:val="22"/>
                <w:szCs w:val="22"/>
              </w:rPr>
              <w:t xml:space="preserve"> to some of these standard software packages</w:t>
            </w:r>
            <w:r>
              <w:rPr>
                <w:rFonts w:ascii="Calibri" w:hAnsi="Calibri" w:cs="Calibri"/>
                <w:sz w:val="22"/>
                <w:szCs w:val="22"/>
              </w:rPr>
              <w:t>.</w:t>
            </w:r>
          </w:p>
        </w:tc>
      </w:tr>
    </w:tbl>
    <w:p w:rsidR="00F42038" w:rsidRPr="001A6902" w:rsidRDefault="00F42038" w:rsidP="002A128E">
      <w:pPr>
        <w:rPr>
          <w:sz w:val="22"/>
        </w:rPr>
      </w:pPr>
    </w:p>
    <w:p w:rsidR="00F42038" w:rsidRPr="001A6902" w:rsidRDefault="00F42038" w:rsidP="00D7683B">
      <w:pPr>
        <w:pStyle w:val="Heading3"/>
        <w:numPr>
          <w:ilvl w:val="0"/>
          <w:numId w:val="1"/>
        </w:numPr>
        <w:rPr>
          <w:sz w:val="22"/>
        </w:rPr>
      </w:pPr>
      <w:r w:rsidRPr="001A6902">
        <w:rPr>
          <w:sz w:val="22"/>
        </w:rPr>
        <w:t>Staff and Student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F42038" w:rsidRPr="001A6902" w:rsidTr="003A6025">
        <w:tc>
          <w:tcPr>
            <w:tcW w:w="648" w:type="dxa"/>
          </w:tcPr>
          <w:p w:rsidR="00F42038" w:rsidRPr="001A6902" w:rsidRDefault="00F42038" w:rsidP="003A6025">
            <w:pPr>
              <w:jc w:val="center"/>
              <w:rPr>
                <w:rFonts w:ascii="Calibri" w:hAnsi="Calibri"/>
                <w:b/>
                <w:szCs w:val="20"/>
              </w:rPr>
            </w:pPr>
            <w:r w:rsidRPr="001A6902">
              <w:rPr>
                <w:rFonts w:ascii="Calibri" w:hAnsi="Calibri"/>
                <w:b/>
                <w:sz w:val="22"/>
                <w:szCs w:val="20"/>
              </w:rPr>
              <w:t>Rec No.</w:t>
            </w:r>
          </w:p>
        </w:tc>
        <w:tc>
          <w:tcPr>
            <w:tcW w:w="3612" w:type="dxa"/>
          </w:tcPr>
          <w:p w:rsidR="00F42038" w:rsidRPr="001A6902" w:rsidRDefault="00F42038" w:rsidP="003A6025">
            <w:pPr>
              <w:jc w:val="center"/>
              <w:rPr>
                <w:rFonts w:ascii="Calibri" w:hAnsi="Calibri"/>
                <w:b/>
                <w:szCs w:val="20"/>
              </w:rPr>
            </w:pPr>
            <w:r w:rsidRPr="001A6902">
              <w:rPr>
                <w:rFonts w:ascii="Calibri" w:hAnsi="Calibri"/>
                <w:b/>
                <w:sz w:val="22"/>
                <w:szCs w:val="20"/>
              </w:rPr>
              <w:t>Recommendation</w:t>
            </w:r>
          </w:p>
        </w:tc>
        <w:tc>
          <w:tcPr>
            <w:tcW w:w="1802" w:type="dxa"/>
          </w:tcPr>
          <w:p w:rsidR="00F42038" w:rsidRPr="001A6902" w:rsidRDefault="00F42038" w:rsidP="003A6025">
            <w:pPr>
              <w:jc w:val="center"/>
              <w:rPr>
                <w:rFonts w:ascii="Calibri" w:hAnsi="Calibri"/>
                <w:b/>
                <w:szCs w:val="20"/>
              </w:rPr>
            </w:pPr>
            <w:r w:rsidRPr="001A6902">
              <w:rPr>
                <w:rFonts w:ascii="Calibri" w:hAnsi="Calibri"/>
                <w:b/>
                <w:sz w:val="22"/>
                <w:szCs w:val="20"/>
              </w:rPr>
              <w:t>Responsibility</w:t>
            </w:r>
          </w:p>
        </w:tc>
        <w:tc>
          <w:tcPr>
            <w:tcW w:w="7654" w:type="dxa"/>
          </w:tcPr>
          <w:p w:rsidR="00F42038" w:rsidRPr="001A6902" w:rsidRDefault="00F42038" w:rsidP="003A6025">
            <w:pPr>
              <w:jc w:val="center"/>
              <w:rPr>
                <w:rFonts w:ascii="Calibri" w:hAnsi="Calibri"/>
                <w:b/>
                <w:szCs w:val="20"/>
              </w:rPr>
            </w:pPr>
            <w:r w:rsidRPr="001A6902">
              <w:rPr>
                <w:rFonts w:ascii="Calibri" w:hAnsi="Calibri"/>
                <w:b/>
                <w:sz w:val="22"/>
                <w:szCs w:val="20"/>
              </w:rPr>
              <w:t>Planned Response</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5.1</w:t>
            </w:r>
          </w:p>
        </w:tc>
        <w:tc>
          <w:tcPr>
            <w:tcW w:w="3612" w:type="dxa"/>
          </w:tcPr>
          <w:p w:rsidR="00F42038" w:rsidRPr="001A6902" w:rsidRDefault="00F42038" w:rsidP="003A6025">
            <w:pPr>
              <w:rPr>
                <w:rFonts w:ascii="Calibri" w:hAnsi="Calibri"/>
              </w:rPr>
            </w:pPr>
            <w:r w:rsidRPr="001A6902">
              <w:rPr>
                <w:rFonts w:ascii="Calibri" w:hAnsi="Calibri"/>
                <w:sz w:val="22"/>
                <w:szCs w:val="22"/>
              </w:rPr>
              <w:t>To allow the Department to achieve its objectives for the coming decade, we recommend the staffing profile be maintained. The Faculty will need to budget to retain the Department's Future Fellows and secure continuing AAO support from its incoming Director</w:t>
            </w:r>
          </w:p>
        </w:tc>
        <w:tc>
          <w:tcPr>
            <w:tcW w:w="1802" w:type="dxa"/>
          </w:tcPr>
          <w:p w:rsidR="00F42038" w:rsidRPr="001A6902" w:rsidRDefault="00F42038" w:rsidP="003A6025">
            <w:pPr>
              <w:rPr>
                <w:rFonts w:ascii="Calibri" w:hAnsi="Calibri" w:cs="Calibri"/>
              </w:rPr>
            </w:pPr>
            <w:r w:rsidRPr="001A6902">
              <w:rPr>
                <w:rFonts w:ascii="Calibri" w:hAnsi="Calibri" w:cs="Calibri"/>
                <w:sz w:val="22"/>
                <w:szCs w:val="22"/>
              </w:rPr>
              <w:t>Exec Dean</w:t>
            </w:r>
          </w:p>
        </w:tc>
        <w:tc>
          <w:tcPr>
            <w:tcW w:w="7654" w:type="dxa"/>
          </w:tcPr>
          <w:p w:rsidR="00F42038" w:rsidRPr="001A6902" w:rsidRDefault="00F42038" w:rsidP="002574DC">
            <w:pPr>
              <w:rPr>
                <w:rFonts w:ascii="Calibri" w:hAnsi="Calibri" w:cs="Calibri"/>
              </w:rPr>
            </w:pPr>
            <w:r w:rsidRPr="001A6902">
              <w:rPr>
                <w:rFonts w:ascii="Calibri" w:hAnsi="Calibri" w:cs="Calibri"/>
                <w:sz w:val="22"/>
                <w:szCs w:val="22"/>
              </w:rPr>
              <w:t xml:space="preserve">There are currently no plans to change the </w:t>
            </w:r>
            <w:r w:rsidR="00785D7E">
              <w:rPr>
                <w:rFonts w:ascii="Calibri" w:hAnsi="Calibri" w:cs="Calibri"/>
                <w:sz w:val="22"/>
                <w:szCs w:val="22"/>
              </w:rPr>
              <w:t xml:space="preserve">staffing </w:t>
            </w:r>
            <w:r w:rsidRPr="001A6902">
              <w:rPr>
                <w:rFonts w:ascii="Calibri" w:hAnsi="Calibri" w:cs="Calibri"/>
                <w:sz w:val="22"/>
                <w:szCs w:val="22"/>
              </w:rPr>
              <w:t xml:space="preserve">profile of the </w:t>
            </w:r>
            <w:r w:rsidR="002574DC">
              <w:rPr>
                <w:rFonts w:ascii="Calibri" w:hAnsi="Calibri" w:cs="Calibri"/>
                <w:sz w:val="22"/>
                <w:szCs w:val="22"/>
              </w:rPr>
              <w:t>Department</w:t>
            </w:r>
            <w:r w:rsidRPr="001A6902">
              <w:rPr>
                <w:rFonts w:ascii="Calibri" w:hAnsi="Calibri" w:cs="Calibri"/>
                <w:sz w:val="22"/>
                <w:szCs w:val="22"/>
              </w:rPr>
              <w:t>. A new position replacing a Future fellow is being advertised at present and is jointly funded by the AAO Gemini Office. Another joi</w:t>
            </w:r>
            <w:r w:rsidR="00785D7E">
              <w:rPr>
                <w:rFonts w:ascii="Calibri" w:hAnsi="Calibri" w:cs="Calibri"/>
                <w:sz w:val="22"/>
                <w:szCs w:val="22"/>
              </w:rPr>
              <w:t>nt position with CASS is under discussion</w:t>
            </w:r>
            <w:r w:rsidRPr="001A6902">
              <w:rPr>
                <w:rFonts w:ascii="Calibri" w:hAnsi="Calibri" w:cs="Calibri"/>
                <w:sz w:val="22"/>
                <w:szCs w:val="22"/>
              </w:rPr>
              <w:t>.</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5.2</w:t>
            </w:r>
          </w:p>
        </w:tc>
        <w:tc>
          <w:tcPr>
            <w:tcW w:w="3612" w:type="dxa"/>
          </w:tcPr>
          <w:p w:rsidR="00F42038" w:rsidRPr="001A6902" w:rsidRDefault="00F42038" w:rsidP="003A6025">
            <w:pPr>
              <w:rPr>
                <w:rFonts w:ascii="Calibri" w:hAnsi="Calibri"/>
              </w:rPr>
            </w:pPr>
            <w:r w:rsidRPr="001A6902">
              <w:rPr>
                <w:rFonts w:ascii="Calibri" w:hAnsi="Calibri"/>
                <w:sz w:val="22"/>
                <w:szCs w:val="22"/>
              </w:rPr>
              <w:t>The Department identify and implement opportunities to support the transition of post-doctoral fellows from a research only to a research / teaching future</w:t>
            </w:r>
          </w:p>
        </w:tc>
        <w:tc>
          <w:tcPr>
            <w:tcW w:w="1802" w:type="dxa"/>
          </w:tcPr>
          <w:p w:rsidR="00F42038" w:rsidRPr="001A6902" w:rsidRDefault="00F42038" w:rsidP="00785D7E">
            <w:pPr>
              <w:rPr>
                <w:rFonts w:ascii="Calibri" w:hAnsi="Calibri" w:cs="Calibri"/>
              </w:rPr>
            </w:pPr>
            <w:proofErr w:type="spellStart"/>
            <w:r w:rsidRPr="001A6902">
              <w:rPr>
                <w:rFonts w:ascii="Calibri" w:hAnsi="Calibri" w:cs="Calibri"/>
                <w:sz w:val="22"/>
                <w:szCs w:val="22"/>
              </w:rPr>
              <w:t>HoD</w:t>
            </w:r>
            <w:proofErr w:type="spellEnd"/>
            <w:r w:rsidRPr="001A6902">
              <w:rPr>
                <w:rFonts w:ascii="Calibri" w:hAnsi="Calibri" w:cs="Calibri"/>
                <w:sz w:val="22"/>
                <w:szCs w:val="22"/>
              </w:rPr>
              <w:t xml:space="preserve"> and </w:t>
            </w:r>
            <w:r w:rsidR="00785D7E">
              <w:rPr>
                <w:rFonts w:ascii="Calibri" w:hAnsi="Calibri" w:cs="Calibri"/>
                <w:sz w:val="22"/>
                <w:szCs w:val="22"/>
              </w:rPr>
              <w:t>academic</w:t>
            </w:r>
            <w:r w:rsidRPr="001A6902">
              <w:rPr>
                <w:rFonts w:ascii="Calibri" w:hAnsi="Calibri" w:cs="Calibri"/>
                <w:sz w:val="22"/>
                <w:szCs w:val="22"/>
              </w:rPr>
              <w:t xml:space="preserve"> staff</w:t>
            </w:r>
          </w:p>
        </w:tc>
        <w:tc>
          <w:tcPr>
            <w:tcW w:w="7654" w:type="dxa"/>
          </w:tcPr>
          <w:p w:rsidR="00F42038" w:rsidRPr="001A6902" w:rsidRDefault="00F42038" w:rsidP="002574DC">
            <w:pPr>
              <w:rPr>
                <w:rFonts w:ascii="Calibri" w:hAnsi="Calibri" w:cs="Calibri"/>
              </w:rPr>
            </w:pPr>
            <w:r w:rsidRPr="001A6902">
              <w:rPr>
                <w:rFonts w:ascii="Calibri" w:hAnsi="Calibri" w:cs="Calibri"/>
                <w:sz w:val="22"/>
                <w:szCs w:val="22"/>
              </w:rPr>
              <w:t>Postdoctoral fellows were surveyed early in the</w:t>
            </w:r>
            <w:r>
              <w:rPr>
                <w:rFonts w:ascii="Calibri" w:hAnsi="Calibri" w:cs="Calibri"/>
                <w:sz w:val="22"/>
                <w:szCs w:val="22"/>
              </w:rPr>
              <w:t xml:space="preserve"> year to find out who was</w:t>
            </w:r>
            <w:r w:rsidRPr="001A6902">
              <w:rPr>
                <w:rFonts w:ascii="Calibri" w:hAnsi="Calibri" w:cs="Calibri"/>
                <w:sz w:val="22"/>
                <w:szCs w:val="22"/>
              </w:rPr>
              <w:t xml:space="preserve"> interested in gaining teaching experience. In semester 1, four postdoctoral staff </w:t>
            </w:r>
            <w:proofErr w:type="gramStart"/>
            <w:r w:rsidRPr="001A6902">
              <w:rPr>
                <w:rFonts w:ascii="Calibri" w:hAnsi="Calibri" w:cs="Calibri"/>
                <w:sz w:val="22"/>
                <w:szCs w:val="22"/>
              </w:rPr>
              <w:t>were</w:t>
            </w:r>
            <w:proofErr w:type="gramEnd"/>
            <w:r w:rsidRPr="001A6902">
              <w:rPr>
                <w:rFonts w:ascii="Calibri" w:hAnsi="Calibri" w:cs="Calibri"/>
                <w:sz w:val="22"/>
                <w:szCs w:val="22"/>
              </w:rPr>
              <w:t xml:space="preserve"> given opportunities for meaningful teaching experience within the </w:t>
            </w:r>
            <w:r w:rsidR="002574DC">
              <w:rPr>
                <w:rFonts w:ascii="Calibri" w:hAnsi="Calibri" w:cs="Calibri"/>
                <w:sz w:val="22"/>
                <w:szCs w:val="22"/>
              </w:rPr>
              <w:t>Department</w:t>
            </w:r>
            <w:r w:rsidRPr="001A6902">
              <w:rPr>
                <w:rFonts w:ascii="Calibri" w:hAnsi="Calibri" w:cs="Calibri"/>
                <w:sz w:val="22"/>
                <w:szCs w:val="22"/>
              </w:rPr>
              <w:t xml:space="preserve">’s normal teaching offerings.  In semester 2, other postdoctoral staff will be given opportunities to contribute to </w:t>
            </w:r>
            <w:r w:rsidR="002574DC">
              <w:rPr>
                <w:rFonts w:ascii="Calibri" w:hAnsi="Calibri" w:cs="Calibri"/>
                <w:sz w:val="22"/>
                <w:szCs w:val="22"/>
              </w:rPr>
              <w:t>Department</w:t>
            </w:r>
            <w:r w:rsidRPr="001A6902">
              <w:rPr>
                <w:rFonts w:ascii="Calibri" w:hAnsi="Calibri" w:cs="Calibri"/>
                <w:sz w:val="22"/>
                <w:szCs w:val="22"/>
              </w:rPr>
              <w:t xml:space="preserve"> teaching.  </w:t>
            </w:r>
            <w:r>
              <w:rPr>
                <w:rFonts w:ascii="Calibri" w:hAnsi="Calibri" w:cs="Calibri"/>
                <w:sz w:val="22"/>
                <w:szCs w:val="22"/>
              </w:rPr>
              <w:t xml:space="preserve">A voluntary mentoring program for postdocs paired with academic staff is planned, modelled on an existing program at Swinburne Univ.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5.3</w:t>
            </w:r>
          </w:p>
        </w:tc>
        <w:tc>
          <w:tcPr>
            <w:tcW w:w="3612" w:type="dxa"/>
          </w:tcPr>
          <w:p w:rsidR="00F42038" w:rsidRPr="001A6902" w:rsidRDefault="00F42038" w:rsidP="00682565">
            <w:pPr>
              <w:rPr>
                <w:rFonts w:ascii="Calibri" w:hAnsi="Calibri"/>
              </w:rPr>
            </w:pPr>
            <w:r w:rsidRPr="001A6902">
              <w:rPr>
                <w:rFonts w:ascii="Calibri" w:hAnsi="Calibri"/>
                <w:sz w:val="22"/>
                <w:szCs w:val="22"/>
              </w:rPr>
              <w:t xml:space="preserve">We recommend the development of a more strategic and targeted program to attract both domestic and international students to undergraduate and postgraduate level physics degrees.  Actions could </w:t>
            </w:r>
            <w:r w:rsidRPr="001A6902">
              <w:rPr>
                <w:rFonts w:ascii="Calibri" w:hAnsi="Calibri"/>
                <w:sz w:val="22"/>
                <w:szCs w:val="22"/>
              </w:rPr>
              <w:lastRenderedPageBreak/>
              <w:t>include;</w:t>
            </w:r>
          </w:p>
          <w:p w:rsidR="00F42038" w:rsidRPr="001A6902" w:rsidRDefault="00F42038" w:rsidP="00682565">
            <w:pPr>
              <w:numPr>
                <w:ilvl w:val="0"/>
                <w:numId w:val="2"/>
              </w:numPr>
              <w:suppressAutoHyphens/>
              <w:rPr>
                <w:rFonts w:ascii="Calibri" w:hAnsi="Calibri"/>
              </w:rPr>
            </w:pPr>
            <w:proofErr w:type="gramStart"/>
            <w:r w:rsidRPr="001A6902">
              <w:rPr>
                <w:rFonts w:ascii="Calibri" w:hAnsi="Calibri"/>
                <w:sz w:val="22"/>
                <w:szCs w:val="22"/>
              </w:rPr>
              <w:t>a</w:t>
            </w:r>
            <w:proofErr w:type="gramEnd"/>
            <w:r w:rsidRPr="001A6902">
              <w:rPr>
                <w:rFonts w:ascii="Calibri" w:hAnsi="Calibri"/>
                <w:sz w:val="22"/>
                <w:szCs w:val="22"/>
              </w:rPr>
              <w:t xml:space="preserve"> more comprehensive survey to establish the driving forces around decisions to come to Macquarie to study physics or not.</w:t>
            </w:r>
          </w:p>
          <w:p w:rsidR="00F42038" w:rsidRPr="001A6902" w:rsidRDefault="00F42038" w:rsidP="00682565">
            <w:pPr>
              <w:numPr>
                <w:ilvl w:val="0"/>
                <w:numId w:val="2"/>
              </w:numPr>
              <w:suppressAutoHyphens/>
              <w:rPr>
                <w:rFonts w:ascii="Calibri" w:hAnsi="Calibri"/>
              </w:rPr>
            </w:pPr>
            <w:proofErr w:type="gramStart"/>
            <w:r w:rsidRPr="001A6902">
              <w:rPr>
                <w:rFonts w:ascii="Calibri" w:hAnsi="Calibri"/>
                <w:sz w:val="22"/>
                <w:szCs w:val="22"/>
              </w:rPr>
              <w:t>a</w:t>
            </w:r>
            <w:proofErr w:type="gramEnd"/>
            <w:r w:rsidRPr="001A6902">
              <w:rPr>
                <w:rFonts w:ascii="Calibri" w:hAnsi="Calibri"/>
                <w:sz w:val="22"/>
                <w:szCs w:val="22"/>
              </w:rPr>
              <w:t xml:space="preserve"> professional marketing approach with focus on increasing science enrolments, particularly from local schools.</w:t>
            </w:r>
          </w:p>
          <w:p w:rsidR="00F42038" w:rsidRPr="001A6902" w:rsidRDefault="00F42038" w:rsidP="00682565">
            <w:pPr>
              <w:numPr>
                <w:ilvl w:val="0"/>
                <w:numId w:val="2"/>
              </w:numPr>
              <w:suppressAutoHyphens/>
              <w:rPr>
                <w:rFonts w:ascii="Calibri" w:hAnsi="Calibri"/>
              </w:rPr>
            </w:pPr>
            <w:r w:rsidRPr="001A6902">
              <w:rPr>
                <w:rFonts w:ascii="Calibri" w:hAnsi="Calibri"/>
                <w:sz w:val="22"/>
                <w:szCs w:val="22"/>
              </w:rPr>
              <w:t>Marketing opportunities to combine physics with maths, engineering, medical or biotechnology degrees.</w:t>
            </w:r>
          </w:p>
          <w:p w:rsidR="00F42038" w:rsidRPr="001A6902" w:rsidRDefault="00F42038" w:rsidP="00682565">
            <w:pPr>
              <w:numPr>
                <w:ilvl w:val="0"/>
                <w:numId w:val="2"/>
              </w:numPr>
              <w:suppressAutoHyphens/>
              <w:rPr>
                <w:rFonts w:ascii="Calibri" w:hAnsi="Calibri"/>
              </w:rPr>
            </w:pPr>
            <w:r w:rsidRPr="001A6902">
              <w:rPr>
                <w:rFonts w:ascii="Calibri" w:hAnsi="Calibri"/>
                <w:sz w:val="22"/>
                <w:szCs w:val="22"/>
              </w:rPr>
              <w:t>Better advertise and differentiate the advanced degree opportunities</w:t>
            </w:r>
          </w:p>
          <w:p w:rsidR="00F42038" w:rsidRPr="001A6902" w:rsidRDefault="00F42038" w:rsidP="00682565">
            <w:pPr>
              <w:numPr>
                <w:ilvl w:val="0"/>
                <w:numId w:val="2"/>
              </w:numPr>
              <w:suppressAutoHyphens/>
              <w:rPr>
                <w:rFonts w:ascii="Calibri" w:hAnsi="Calibri"/>
              </w:rPr>
            </w:pPr>
            <w:r w:rsidRPr="001A6902">
              <w:rPr>
                <w:rFonts w:ascii="Calibri" w:hAnsi="Calibri"/>
                <w:sz w:val="22"/>
                <w:szCs w:val="22"/>
              </w:rPr>
              <w:t>More aggressive marketing of research degree opportunities for domestic HDR students</w:t>
            </w:r>
          </w:p>
          <w:p w:rsidR="00F42038" w:rsidRPr="001A6902" w:rsidRDefault="00F42038" w:rsidP="003A6025">
            <w:pPr>
              <w:numPr>
                <w:ilvl w:val="0"/>
                <w:numId w:val="2"/>
              </w:numPr>
              <w:suppressAutoHyphens/>
              <w:rPr>
                <w:rFonts w:ascii="Calibri" w:hAnsi="Calibri"/>
              </w:rPr>
            </w:pPr>
            <w:r w:rsidRPr="001A6902">
              <w:rPr>
                <w:rFonts w:ascii="Calibri" w:hAnsi="Calibri"/>
                <w:sz w:val="22"/>
                <w:szCs w:val="22"/>
              </w:rPr>
              <w:t>Faculty can publicise their research using new media such as</w:t>
            </w:r>
            <w:r w:rsidRPr="001A6902">
              <w:rPr>
                <w:rFonts w:ascii="Calibri" w:hAnsi="Calibri"/>
                <w:i/>
                <w:sz w:val="22"/>
                <w:szCs w:val="22"/>
              </w:rPr>
              <w:t xml:space="preserve"> The Conversation</w:t>
            </w:r>
            <w:r w:rsidRPr="001A6902">
              <w:rPr>
                <w:rFonts w:ascii="Calibri" w:hAnsi="Calibri"/>
                <w:sz w:val="22"/>
                <w:szCs w:val="22"/>
              </w:rPr>
              <w:t>, as well as traditional media</w:t>
            </w:r>
          </w:p>
        </w:tc>
        <w:tc>
          <w:tcPr>
            <w:tcW w:w="1802" w:type="dxa"/>
          </w:tcPr>
          <w:p w:rsidR="00F42038" w:rsidRPr="001A6902" w:rsidRDefault="00F42038" w:rsidP="003A6025">
            <w:pPr>
              <w:rPr>
                <w:rFonts w:ascii="Calibri" w:hAnsi="Calibri" w:cs="Calibri"/>
              </w:rPr>
            </w:pPr>
            <w:proofErr w:type="spellStart"/>
            <w:r w:rsidRPr="001A6902">
              <w:rPr>
                <w:rFonts w:ascii="Calibri" w:hAnsi="Calibri" w:cs="Calibri"/>
                <w:sz w:val="22"/>
                <w:szCs w:val="22"/>
              </w:rPr>
              <w:lastRenderedPageBreak/>
              <w:t>HoD</w:t>
            </w:r>
            <w:proofErr w:type="spellEnd"/>
            <w:r w:rsidRPr="001A6902">
              <w:rPr>
                <w:rFonts w:ascii="Calibri" w:hAnsi="Calibri" w:cs="Calibri"/>
                <w:sz w:val="22"/>
                <w:szCs w:val="22"/>
              </w:rPr>
              <w:t>, HDR Director, TLC rep</w:t>
            </w:r>
            <w:r w:rsidR="00785D7E">
              <w:rPr>
                <w:rFonts w:ascii="Calibri" w:hAnsi="Calibri" w:cs="Calibri"/>
                <w:sz w:val="22"/>
                <w:szCs w:val="22"/>
              </w:rPr>
              <w:t>resentative</w:t>
            </w:r>
            <w:r w:rsidRPr="001A6902">
              <w:rPr>
                <w:rFonts w:ascii="Calibri" w:hAnsi="Calibri" w:cs="Calibri"/>
                <w:sz w:val="22"/>
                <w:szCs w:val="22"/>
              </w:rPr>
              <w:t>s, and Faculty marketing staff</w:t>
            </w:r>
          </w:p>
        </w:tc>
        <w:tc>
          <w:tcPr>
            <w:tcW w:w="7654" w:type="dxa"/>
          </w:tcPr>
          <w:p w:rsidR="00F42038" w:rsidRPr="001A6902" w:rsidRDefault="00785D7E" w:rsidP="002574DC">
            <w:pPr>
              <w:rPr>
                <w:rFonts w:ascii="Calibri" w:hAnsi="Calibri" w:cs="Calibri"/>
              </w:rPr>
            </w:pPr>
            <w:r>
              <w:rPr>
                <w:rFonts w:ascii="Calibri" w:hAnsi="Calibri" w:cs="Calibri"/>
                <w:sz w:val="22"/>
              </w:rPr>
              <w:t>The Faculty will have more control over Marketing in the</w:t>
            </w:r>
            <w:r w:rsidR="00F42038" w:rsidRPr="001A6902">
              <w:rPr>
                <w:rFonts w:ascii="Calibri" w:hAnsi="Calibri" w:cs="Calibri"/>
                <w:sz w:val="22"/>
              </w:rPr>
              <w:t xml:space="preserve"> future. The </w:t>
            </w:r>
            <w:r w:rsidR="002574DC">
              <w:rPr>
                <w:rFonts w:ascii="Calibri" w:hAnsi="Calibri" w:cs="Calibri"/>
                <w:sz w:val="22"/>
              </w:rPr>
              <w:t>Department</w:t>
            </w:r>
            <w:r w:rsidR="00F42038" w:rsidRPr="001A6902">
              <w:rPr>
                <w:rFonts w:ascii="Calibri" w:hAnsi="Calibri" w:cs="Calibri"/>
                <w:sz w:val="22"/>
              </w:rPr>
              <w:t xml:space="preserve"> undergrad recrui</w:t>
            </w:r>
            <w:r w:rsidR="00F42038">
              <w:rPr>
                <w:rFonts w:ascii="Calibri" w:hAnsi="Calibri" w:cs="Calibri"/>
                <w:sz w:val="22"/>
              </w:rPr>
              <w:t>tment committee is not currently active</w:t>
            </w:r>
            <w:r w:rsidR="00F42038" w:rsidRPr="001A6902">
              <w:rPr>
                <w:rFonts w:ascii="Calibri" w:hAnsi="Calibri" w:cs="Calibri"/>
                <w:sz w:val="22"/>
              </w:rPr>
              <w:t xml:space="preserve">, but could work with marketing staff to be more effective.  We are keen to work with other </w:t>
            </w:r>
            <w:r w:rsidR="002574DC">
              <w:rPr>
                <w:rFonts w:ascii="Calibri" w:hAnsi="Calibri" w:cs="Calibri"/>
                <w:sz w:val="22"/>
              </w:rPr>
              <w:t>Department</w:t>
            </w:r>
            <w:r w:rsidR="00F42038" w:rsidRPr="001A6902">
              <w:rPr>
                <w:rFonts w:ascii="Calibri" w:hAnsi="Calibri" w:cs="Calibri"/>
                <w:sz w:val="22"/>
              </w:rPr>
              <w:t xml:space="preserve">s </w:t>
            </w:r>
            <w:r w:rsidR="002574DC">
              <w:rPr>
                <w:rFonts w:ascii="Calibri" w:hAnsi="Calibri" w:cs="Calibri"/>
                <w:sz w:val="22"/>
              </w:rPr>
              <w:t>and C</w:t>
            </w:r>
            <w:r w:rsidR="00F42038">
              <w:rPr>
                <w:rFonts w:ascii="Calibri" w:hAnsi="Calibri" w:cs="Calibri"/>
                <w:sz w:val="22"/>
              </w:rPr>
              <w:t xml:space="preserve">entres </w:t>
            </w:r>
            <w:r w:rsidR="00F42038" w:rsidRPr="001A6902">
              <w:rPr>
                <w:rFonts w:ascii="Calibri" w:hAnsi="Calibri" w:cs="Calibri"/>
                <w:sz w:val="22"/>
              </w:rPr>
              <w:t xml:space="preserve">such as Engineering or the </w:t>
            </w:r>
            <w:proofErr w:type="spellStart"/>
            <w:r w:rsidR="00F42038" w:rsidRPr="001A6902">
              <w:rPr>
                <w:rFonts w:ascii="Calibri" w:hAnsi="Calibri" w:cs="Calibri"/>
                <w:sz w:val="22"/>
              </w:rPr>
              <w:t>Biofocus</w:t>
            </w:r>
            <w:proofErr w:type="spellEnd"/>
            <w:r w:rsidR="00F42038" w:rsidRPr="001A6902">
              <w:rPr>
                <w:rFonts w:ascii="Calibri" w:hAnsi="Calibri" w:cs="Calibri"/>
                <w:sz w:val="22"/>
              </w:rPr>
              <w:t xml:space="preserve"> Research Centre to promote double degrees,</w:t>
            </w:r>
            <w:r w:rsidR="00F42038">
              <w:rPr>
                <w:rFonts w:ascii="Calibri" w:hAnsi="Calibri" w:cs="Calibri"/>
                <w:sz w:val="22"/>
              </w:rPr>
              <w:t xml:space="preserve"> as these attract</w:t>
            </w:r>
            <w:r w:rsidR="00F42038" w:rsidRPr="001A6902">
              <w:rPr>
                <w:rFonts w:ascii="Calibri" w:hAnsi="Calibri" w:cs="Calibri"/>
                <w:sz w:val="22"/>
              </w:rPr>
              <w:t xml:space="preserve"> the better students.  We do not have a strategy for Facebook or social media, and this will discussed when the Faculty </w:t>
            </w:r>
            <w:r w:rsidR="00F42038" w:rsidRPr="001A6902">
              <w:rPr>
                <w:rFonts w:ascii="Calibri" w:hAnsi="Calibri" w:cs="Calibri"/>
                <w:sz w:val="22"/>
              </w:rPr>
              <w:lastRenderedPageBreak/>
              <w:t xml:space="preserve">marketing structure is finalised. We should be able to recruit more students to HSC enrichment days for example. We are keen to have a dedicated person at Faculty level supporting HDR recruitment. Further discussion on the promotion of the Advanced degree is also needed. </w:t>
            </w:r>
            <w:r w:rsidR="00FC30D8">
              <w:rPr>
                <w:rFonts w:ascii="Calibri" w:hAnsi="Calibri" w:cs="Calibri"/>
                <w:sz w:val="22"/>
              </w:rPr>
              <w:t xml:space="preserve">A large number of academic staff </w:t>
            </w:r>
            <w:proofErr w:type="gramStart"/>
            <w:r w:rsidR="00FC30D8">
              <w:rPr>
                <w:rFonts w:ascii="Calibri" w:hAnsi="Calibri" w:cs="Calibri"/>
                <w:sz w:val="22"/>
              </w:rPr>
              <w:t>have</w:t>
            </w:r>
            <w:proofErr w:type="gramEnd"/>
            <w:r w:rsidR="00FC30D8">
              <w:rPr>
                <w:rFonts w:ascii="Calibri" w:hAnsi="Calibri" w:cs="Calibri"/>
                <w:sz w:val="22"/>
              </w:rPr>
              <w:t xml:space="preserve"> contributed to the MQ International program by visiting China for recruitment purposes.</w:t>
            </w:r>
            <w:r w:rsidR="00F42038" w:rsidRPr="001A6902">
              <w:rPr>
                <w:rFonts w:ascii="Calibri" w:hAnsi="Calibri" w:cs="Calibri"/>
                <w:i/>
                <w:sz w:val="22"/>
              </w:rPr>
              <w:t xml:space="preserve"> </w:t>
            </w:r>
          </w:p>
        </w:tc>
      </w:tr>
    </w:tbl>
    <w:p w:rsidR="00F42038" w:rsidRPr="001A6902" w:rsidRDefault="00F42038" w:rsidP="00D7683B">
      <w:pPr>
        <w:rPr>
          <w:sz w:val="22"/>
        </w:rPr>
      </w:pPr>
    </w:p>
    <w:p w:rsidR="00F42038" w:rsidRPr="001A6902" w:rsidRDefault="00F42038" w:rsidP="00127E57">
      <w:pPr>
        <w:pStyle w:val="Heading3"/>
        <w:numPr>
          <w:ilvl w:val="0"/>
          <w:numId w:val="1"/>
        </w:numPr>
        <w:rPr>
          <w:sz w:val="22"/>
        </w:rPr>
      </w:pPr>
      <w:r w:rsidRPr="001A6902">
        <w:rPr>
          <w:sz w:val="22"/>
        </w:rPr>
        <w:t>Community / Industry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F42038" w:rsidRPr="001A6902" w:rsidTr="003A6025">
        <w:tc>
          <w:tcPr>
            <w:tcW w:w="648" w:type="dxa"/>
          </w:tcPr>
          <w:p w:rsidR="00F42038" w:rsidRPr="001A6902" w:rsidRDefault="00F42038" w:rsidP="003A6025">
            <w:pPr>
              <w:jc w:val="center"/>
              <w:rPr>
                <w:rFonts w:ascii="Calibri" w:hAnsi="Calibri"/>
                <w:b/>
                <w:szCs w:val="20"/>
              </w:rPr>
            </w:pPr>
            <w:r w:rsidRPr="001A6902">
              <w:rPr>
                <w:rFonts w:ascii="Calibri" w:hAnsi="Calibri"/>
                <w:b/>
                <w:sz w:val="22"/>
                <w:szCs w:val="20"/>
              </w:rPr>
              <w:t>Rec No.</w:t>
            </w:r>
          </w:p>
        </w:tc>
        <w:tc>
          <w:tcPr>
            <w:tcW w:w="3612" w:type="dxa"/>
          </w:tcPr>
          <w:p w:rsidR="00F42038" w:rsidRPr="001A6902" w:rsidRDefault="00F42038" w:rsidP="003A6025">
            <w:pPr>
              <w:jc w:val="center"/>
              <w:rPr>
                <w:rFonts w:ascii="Calibri" w:hAnsi="Calibri"/>
                <w:b/>
                <w:szCs w:val="20"/>
              </w:rPr>
            </w:pPr>
            <w:r w:rsidRPr="001A6902">
              <w:rPr>
                <w:rFonts w:ascii="Calibri" w:hAnsi="Calibri"/>
                <w:b/>
                <w:sz w:val="22"/>
                <w:szCs w:val="20"/>
              </w:rPr>
              <w:t>Recommendation</w:t>
            </w:r>
          </w:p>
        </w:tc>
        <w:tc>
          <w:tcPr>
            <w:tcW w:w="1802" w:type="dxa"/>
          </w:tcPr>
          <w:p w:rsidR="00F42038" w:rsidRPr="001A6902" w:rsidRDefault="00F42038" w:rsidP="003A6025">
            <w:pPr>
              <w:jc w:val="center"/>
              <w:rPr>
                <w:rFonts w:ascii="Calibri" w:hAnsi="Calibri"/>
                <w:b/>
                <w:szCs w:val="20"/>
              </w:rPr>
            </w:pPr>
            <w:r w:rsidRPr="001A6902">
              <w:rPr>
                <w:rFonts w:ascii="Calibri" w:hAnsi="Calibri"/>
                <w:b/>
                <w:sz w:val="22"/>
                <w:szCs w:val="20"/>
              </w:rPr>
              <w:t>Responsibility</w:t>
            </w:r>
          </w:p>
        </w:tc>
        <w:tc>
          <w:tcPr>
            <w:tcW w:w="7654" w:type="dxa"/>
          </w:tcPr>
          <w:p w:rsidR="00F42038" w:rsidRPr="001A6902" w:rsidRDefault="00F42038" w:rsidP="003A6025">
            <w:pPr>
              <w:jc w:val="center"/>
              <w:rPr>
                <w:rFonts w:ascii="Calibri" w:hAnsi="Calibri"/>
                <w:b/>
                <w:szCs w:val="20"/>
              </w:rPr>
            </w:pPr>
            <w:r w:rsidRPr="001A6902">
              <w:rPr>
                <w:rFonts w:ascii="Calibri" w:hAnsi="Calibri"/>
                <w:b/>
                <w:sz w:val="22"/>
                <w:szCs w:val="20"/>
              </w:rPr>
              <w:t>Planned Response</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6.1</w:t>
            </w:r>
          </w:p>
        </w:tc>
        <w:tc>
          <w:tcPr>
            <w:tcW w:w="3612" w:type="dxa"/>
          </w:tcPr>
          <w:p w:rsidR="00F42038" w:rsidRPr="001A6902" w:rsidRDefault="00F42038" w:rsidP="003A6025">
            <w:pPr>
              <w:rPr>
                <w:rFonts w:ascii="Calibri" w:hAnsi="Calibri"/>
              </w:rPr>
            </w:pPr>
            <w:r w:rsidRPr="001A6902">
              <w:rPr>
                <w:rFonts w:ascii="Calibri" w:hAnsi="Calibri"/>
                <w:sz w:val="22"/>
                <w:szCs w:val="22"/>
              </w:rPr>
              <w:t xml:space="preserve">The Department should undertake better coordination, consolidation and evaluation of the effectiveness of </w:t>
            </w:r>
            <w:r w:rsidRPr="001A6902">
              <w:rPr>
                <w:rFonts w:ascii="Calibri" w:hAnsi="Calibri"/>
                <w:sz w:val="22"/>
                <w:szCs w:val="22"/>
              </w:rPr>
              <w:lastRenderedPageBreak/>
              <w:t>the Department’s community outreach activities.  These processes should support processes associated with recommendation 5.3</w:t>
            </w:r>
          </w:p>
        </w:tc>
        <w:tc>
          <w:tcPr>
            <w:tcW w:w="1802" w:type="dxa"/>
          </w:tcPr>
          <w:p w:rsidR="00F42038" w:rsidRPr="001A6902" w:rsidRDefault="00F42038" w:rsidP="003A6025">
            <w:pPr>
              <w:rPr>
                <w:rFonts w:ascii="Calibri" w:hAnsi="Calibri" w:cs="Calibri"/>
              </w:rPr>
            </w:pPr>
            <w:proofErr w:type="spellStart"/>
            <w:r w:rsidRPr="001A6902">
              <w:rPr>
                <w:rFonts w:ascii="Calibri" w:hAnsi="Calibri" w:cs="Calibri"/>
                <w:sz w:val="22"/>
                <w:szCs w:val="22"/>
              </w:rPr>
              <w:lastRenderedPageBreak/>
              <w:t>HoD</w:t>
            </w:r>
            <w:proofErr w:type="spellEnd"/>
            <w:r w:rsidRPr="001A6902">
              <w:rPr>
                <w:rFonts w:ascii="Calibri" w:hAnsi="Calibri" w:cs="Calibri"/>
                <w:sz w:val="22"/>
                <w:szCs w:val="22"/>
              </w:rPr>
              <w:t xml:space="preserve"> and academics</w:t>
            </w:r>
          </w:p>
        </w:tc>
        <w:tc>
          <w:tcPr>
            <w:tcW w:w="7654" w:type="dxa"/>
          </w:tcPr>
          <w:p w:rsidR="00F42038" w:rsidRPr="00FC30D8" w:rsidRDefault="00F42038" w:rsidP="003A6025">
            <w:pPr>
              <w:rPr>
                <w:rFonts w:ascii="Calibri" w:hAnsi="Calibri" w:cs="Calibri"/>
              </w:rPr>
            </w:pPr>
            <w:r w:rsidRPr="001A6902">
              <w:rPr>
                <w:rFonts w:ascii="Calibri" w:hAnsi="Calibri" w:cs="Calibri"/>
                <w:sz w:val="22"/>
                <w:szCs w:val="22"/>
              </w:rPr>
              <w:t xml:space="preserve">The Faculty plans to better coordinate outreach across all areas. We aim to contribute to this, and we are developing a new PACE unit on science communications /education to enable our students to work with school teachers </w:t>
            </w:r>
            <w:r w:rsidRPr="001A6902">
              <w:rPr>
                <w:rFonts w:ascii="Calibri" w:hAnsi="Calibri" w:cs="Calibri"/>
                <w:sz w:val="22"/>
                <w:szCs w:val="22"/>
              </w:rPr>
              <w:lastRenderedPageBreak/>
              <w:t>and present physics demonstrations to schools.  Astronomy Open Night and University Open Day are both successful events</w:t>
            </w:r>
            <w:r>
              <w:rPr>
                <w:rFonts w:ascii="Calibri" w:hAnsi="Calibri" w:cs="Calibri"/>
                <w:sz w:val="22"/>
                <w:szCs w:val="22"/>
              </w:rPr>
              <w:t xml:space="preserve"> where we showcase our </w:t>
            </w:r>
            <w:r w:rsidR="002574DC">
              <w:rPr>
                <w:rFonts w:ascii="Calibri" w:hAnsi="Calibri" w:cs="Calibri"/>
                <w:sz w:val="22"/>
                <w:szCs w:val="22"/>
              </w:rPr>
              <w:t>Department</w:t>
            </w:r>
            <w:r w:rsidRPr="001A6902">
              <w:rPr>
                <w:rFonts w:ascii="Calibri" w:hAnsi="Calibri" w:cs="Calibri"/>
                <w:sz w:val="22"/>
                <w:szCs w:val="22"/>
              </w:rPr>
              <w:t>. Careers night</w:t>
            </w:r>
            <w:r>
              <w:rPr>
                <w:rFonts w:ascii="Calibri" w:hAnsi="Calibri" w:cs="Calibri"/>
                <w:sz w:val="22"/>
                <w:szCs w:val="22"/>
              </w:rPr>
              <w:t xml:space="preserve"> is also an annual event with </w:t>
            </w:r>
            <w:r w:rsidRPr="001A6902">
              <w:rPr>
                <w:rFonts w:ascii="Calibri" w:hAnsi="Calibri" w:cs="Calibri"/>
                <w:sz w:val="22"/>
                <w:szCs w:val="22"/>
              </w:rPr>
              <w:t>strong support from alumni and current students.</w:t>
            </w:r>
            <w:r w:rsidR="00785D7E">
              <w:rPr>
                <w:rFonts w:ascii="Calibri" w:hAnsi="Calibri" w:cs="Calibri"/>
                <w:sz w:val="22"/>
                <w:szCs w:val="22"/>
              </w:rPr>
              <w:t xml:space="preserve">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lastRenderedPageBreak/>
              <w:t>6.2</w:t>
            </w:r>
          </w:p>
        </w:tc>
        <w:tc>
          <w:tcPr>
            <w:tcW w:w="3612" w:type="dxa"/>
          </w:tcPr>
          <w:p w:rsidR="00F42038" w:rsidRPr="001A6902" w:rsidRDefault="00F42038" w:rsidP="003A6025">
            <w:pPr>
              <w:rPr>
                <w:rFonts w:ascii="Calibri" w:hAnsi="Calibri"/>
              </w:rPr>
            </w:pPr>
            <w:r w:rsidRPr="001A6902">
              <w:rPr>
                <w:rFonts w:ascii="Calibri" w:hAnsi="Calibri"/>
                <w:sz w:val="22"/>
                <w:szCs w:val="22"/>
              </w:rPr>
              <w:t>The Department should engage more closely with the Industry Advisory Group to seek new lines of research and teaching enquiry</w:t>
            </w:r>
          </w:p>
        </w:tc>
        <w:tc>
          <w:tcPr>
            <w:tcW w:w="1802" w:type="dxa"/>
          </w:tcPr>
          <w:p w:rsidR="00F42038" w:rsidRPr="001A6902" w:rsidRDefault="00F42038" w:rsidP="003A6025">
            <w:pPr>
              <w:rPr>
                <w:rFonts w:ascii="Calibri" w:hAnsi="Calibri" w:cs="Calibri"/>
              </w:rPr>
            </w:pPr>
            <w:r w:rsidRPr="001A6902">
              <w:rPr>
                <w:rFonts w:ascii="Calibri" w:hAnsi="Calibri" w:cs="Calibri"/>
                <w:sz w:val="22"/>
              </w:rPr>
              <w:t>AD Research</w:t>
            </w:r>
            <w:r>
              <w:rPr>
                <w:rFonts w:ascii="Calibri" w:hAnsi="Calibri" w:cs="Calibri"/>
                <w:sz w:val="22"/>
              </w:rPr>
              <w:t xml:space="preserve">, </w:t>
            </w:r>
            <w:proofErr w:type="spellStart"/>
            <w:r>
              <w:rPr>
                <w:rFonts w:ascii="Calibri" w:hAnsi="Calibri" w:cs="Calibri"/>
                <w:sz w:val="22"/>
              </w:rPr>
              <w:t>HoD</w:t>
            </w:r>
            <w:proofErr w:type="spellEnd"/>
            <w:r>
              <w:rPr>
                <w:rFonts w:ascii="Calibri" w:hAnsi="Calibri" w:cs="Calibri"/>
                <w:sz w:val="22"/>
              </w:rPr>
              <w:t xml:space="preserve">, Centre directors, </w:t>
            </w:r>
            <w:r w:rsidRPr="001A6902">
              <w:rPr>
                <w:rFonts w:ascii="Calibri" w:hAnsi="Calibri" w:cs="Calibri"/>
                <w:sz w:val="22"/>
              </w:rPr>
              <w:t xml:space="preserve"> and </w:t>
            </w:r>
            <w:r>
              <w:rPr>
                <w:rFonts w:ascii="Calibri" w:hAnsi="Calibri" w:cs="Calibri"/>
                <w:sz w:val="22"/>
              </w:rPr>
              <w:t>academic staff</w:t>
            </w:r>
          </w:p>
        </w:tc>
        <w:tc>
          <w:tcPr>
            <w:tcW w:w="7654" w:type="dxa"/>
          </w:tcPr>
          <w:p w:rsidR="00F42038" w:rsidRPr="001A6902" w:rsidRDefault="00F42038" w:rsidP="00785D7E">
            <w:pPr>
              <w:rPr>
                <w:rFonts w:ascii="Calibri" w:hAnsi="Calibri" w:cs="Calibri"/>
              </w:rPr>
            </w:pPr>
            <w:r w:rsidRPr="001A6902">
              <w:rPr>
                <w:rFonts w:ascii="Calibri" w:hAnsi="Calibri" w:cs="Calibri"/>
                <w:sz w:val="22"/>
              </w:rPr>
              <w:t xml:space="preserve">This is a </w:t>
            </w:r>
            <w:r w:rsidR="00785D7E">
              <w:rPr>
                <w:rFonts w:ascii="Calibri" w:hAnsi="Calibri" w:cs="Calibri"/>
                <w:sz w:val="22"/>
              </w:rPr>
              <w:t>F</w:t>
            </w:r>
            <w:r w:rsidRPr="001A6902">
              <w:rPr>
                <w:rFonts w:ascii="Calibri" w:hAnsi="Calibri" w:cs="Calibri"/>
                <w:sz w:val="22"/>
              </w:rPr>
              <w:t>aculty body,</w:t>
            </w:r>
            <w:r w:rsidR="00785D7E">
              <w:rPr>
                <w:rFonts w:ascii="Calibri" w:hAnsi="Calibri" w:cs="Calibri"/>
                <w:sz w:val="22"/>
              </w:rPr>
              <w:t xml:space="preserve"> so we need to coordinate with the Faculty to engage with it. MQ Research C</w:t>
            </w:r>
            <w:r w:rsidRPr="001A6902">
              <w:rPr>
                <w:rFonts w:ascii="Calibri" w:hAnsi="Calibri" w:cs="Calibri"/>
                <w:sz w:val="22"/>
              </w:rPr>
              <w:t xml:space="preserve">entres also have </w:t>
            </w:r>
            <w:r w:rsidR="00FC30D8">
              <w:rPr>
                <w:rFonts w:ascii="Calibri" w:hAnsi="Calibri" w:cs="Calibri"/>
                <w:sz w:val="22"/>
              </w:rPr>
              <w:t>advisory boards with whom we are engaging</w:t>
            </w:r>
            <w:r w:rsidRPr="001A6902">
              <w:rPr>
                <w:rFonts w:ascii="Calibri" w:hAnsi="Calibri" w:cs="Calibri"/>
                <w:sz w:val="22"/>
              </w:rPr>
              <w:t xml:space="preserve">. We would like senior industry people to give advice on programs and on research areas with potential for collaboration or contracts. </w:t>
            </w:r>
          </w:p>
        </w:tc>
      </w:tr>
    </w:tbl>
    <w:p w:rsidR="00F42038" w:rsidRPr="001A6902" w:rsidRDefault="00F42038" w:rsidP="00127E57">
      <w:pPr>
        <w:rPr>
          <w:sz w:val="22"/>
        </w:rPr>
      </w:pPr>
    </w:p>
    <w:p w:rsidR="00F42038" w:rsidRPr="001A6902" w:rsidRDefault="00F42038" w:rsidP="00F16E3A">
      <w:pPr>
        <w:pStyle w:val="Heading3"/>
        <w:numPr>
          <w:ilvl w:val="0"/>
          <w:numId w:val="1"/>
        </w:numPr>
        <w:rPr>
          <w:sz w:val="22"/>
        </w:rPr>
      </w:pPr>
      <w:r w:rsidRPr="001A6902">
        <w:rPr>
          <w:sz w:val="22"/>
        </w:rPr>
        <w:t>Future Directions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F42038" w:rsidRPr="001A6902" w:rsidTr="003A6025">
        <w:tc>
          <w:tcPr>
            <w:tcW w:w="648" w:type="dxa"/>
          </w:tcPr>
          <w:p w:rsidR="00F42038" w:rsidRPr="001A6902" w:rsidRDefault="00F42038" w:rsidP="003A6025">
            <w:pPr>
              <w:jc w:val="center"/>
              <w:rPr>
                <w:rFonts w:ascii="Calibri" w:hAnsi="Calibri"/>
                <w:b/>
                <w:szCs w:val="20"/>
              </w:rPr>
            </w:pPr>
            <w:r w:rsidRPr="001A6902">
              <w:rPr>
                <w:rFonts w:ascii="Calibri" w:hAnsi="Calibri"/>
                <w:b/>
                <w:sz w:val="22"/>
                <w:szCs w:val="20"/>
              </w:rPr>
              <w:t>Rec No.</w:t>
            </w:r>
          </w:p>
        </w:tc>
        <w:tc>
          <w:tcPr>
            <w:tcW w:w="3612" w:type="dxa"/>
          </w:tcPr>
          <w:p w:rsidR="00F42038" w:rsidRPr="001A6902" w:rsidRDefault="00F42038" w:rsidP="003A6025">
            <w:pPr>
              <w:jc w:val="center"/>
              <w:rPr>
                <w:rFonts w:ascii="Calibri" w:hAnsi="Calibri"/>
                <w:b/>
                <w:szCs w:val="20"/>
              </w:rPr>
            </w:pPr>
            <w:r w:rsidRPr="001A6902">
              <w:rPr>
                <w:rFonts w:ascii="Calibri" w:hAnsi="Calibri"/>
                <w:b/>
                <w:sz w:val="22"/>
                <w:szCs w:val="20"/>
              </w:rPr>
              <w:t>Recommendation</w:t>
            </w:r>
          </w:p>
        </w:tc>
        <w:tc>
          <w:tcPr>
            <w:tcW w:w="1802" w:type="dxa"/>
          </w:tcPr>
          <w:p w:rsidR="00F42038" w:rsidRPr="001A6902" w:rsidRDefault="00F42038" w:rsidP="003A6025">
            <w:pPr>
              <w:jc w:val="center"/>
              <w:rPr>
                <w:rFonts w:ascii="Calibri" w:hAnsi="Calibri"/>
                <w:b/>
                <w:szCs w:val="20"/>
              </w:rPr>
            </w:pPr>
            <w:r w:rsidRPr="001A6902">
              <w:rPr>
                <w:rFonts w:ascii="Calibri" w:hAnsi="Calibri"/>
                <w:b/>
                <w:sz w:val="22"/>
                <w:szCs w:val="20"/>
              </w:rPr>
              <w:t>Responsibility</w:t>
            </w:r>
          </w:p>
        </w:tc>
        <w:tc>
          <w:tcPr>
            <w:tcW w:w="7654" w:type="dxa"/>
          </w:tcPr>
          <w:p w:rsidR="00F42038" w:rsidRPr="001A6902" w:rsidRDefault="00F42038" w:rsidP="003A6025">
            <w:pPr>
              <w:jc w:val="center"/>
              <w:rPr>
                <w:rFonts w:ascii="Calibri" w:hAnsi="Calibri"/>
                <w:b/>
                <w:szCs w:val="20"/>
              </w:rPr>
            </w:pPr>
            <w:r w:rsidRPr="001A6902">
              <w:rPr>
                <w:rFonts w:ascii="Calibri" w:hAnsi="Calibri"/>
                <w:b/>
                <w:sz w:val="22"/>
                <w:szCs w:val="20"/>
              </w:rPr>
              <w:t>Planned Response</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7.1</w:t>
            </w:r>
          </w:p>
        </w:tc>
        <w:tc>
          <w:tcPr>
            <w:tcW w:w="3612" w:type="dxa"/>
          </w:tcPr>
          <w:p w:rsidR="00F42038" w:rsidRPr="001A6902" w:rsidRDefault="00F42038" w:rsidP="003A6025">
            <w:pPr>
              <w:rPr>
                <w:rFonts w:ascii="Calibri" w:hAnsi="Calibri"/>
              </w:rPr>
            </w:pPr>
            <w:r w:rsidRPr="001A6902">
              <w:rPr>
                <w:rFonts w:ascii="Calibri" w:hAnsi="Calibri"/>
                <w:sz w:val="22"/>
                <w:szCs w:val="22"/>
              </w:rPr>
              <w:t>The Department should review opportunities for teaching and research collaboration with Health Sciences in the light of potential developments in biotechnology and biomedical science</w:t>
            </w:r>
          </w:p>
        </w:tc>
        <w:tc>
          <w:tcPr>
            <w:tcW w:w="1802" w:type="dxa"/>
          </w:tcPr>
          <w:p w:rsidR="00F42038" w:rsidRPr="001A6902" w:rsidRDefault="00F42038" w:rsidP="003A6025">
            <w:pPr>
              <w:rPr>
                <w:rFonts w:ascii="Calibri" w:hAnsi="Calibri" w:cs="Calibri"/>
              </w:rPr>
            </w:pPr>
            <w:proofErr w:type="spellStart"/>
            <w:r w:rsidRPr="001A6902">
              <w:rPr>
                <w:rFonts w:ascii="Calibri" w:hAnsi="Calibri" w:cs="Calibri"/>
                <w:sz w:val="22"/>
                <w:szCs w:val="22"/>
              </w:rPr>
              <w:t>HoD</w:t>
            </w:r>
            <w:proofErr w:type="spellEnd"/>
            <w:r>
              <w:rPr>
                <w:rFonts w:ascii="Calibri" w:hAnsi="Calibri" w:cs="Calibri"/>
                <w:sz w:val="22"/>
                <w:szCs w:val="22"/>
              </w:rPr>
              <w:t>, HDR and</w:t>
            </w:r>
            <w:r w:rsidRPr="001A6902">
              <w:rPr>
                <w:rFonts w:ascii="Calibri" w:hAnsi="Calibri" w:cs="Calibri"/>
                <w:sz w:val="22"/>
                <w:szCs w:val="22"/>
              </w:rPr>
              <w:t xml:space="preserve"> TLC reps and </w:t>
            </w:r>
            <w:proofErr w:type="spellStart"/>
            <w:r w:rsidRPr="001A6902">
              <w:rPr>
                <w:rFonts w:ascii="Calibri" w:hAnsi="Calibri" w:cs="Calibri"/>
                <w:sz w:val="22"/>
                <w:szCs w:val="22"/>
              </w:rPr>
              <w:t>Biofocus</w:t>
            </w:r>
            <w:proofErr w:type="spellEnd"/>
            <w:r w:rsidRPr="001A6902">
              <w:rPr>
                <w:rFonts w:ascii="Calibri" w:hAnsi="Calibri" w:cs="Calibri"/>
                <w:sz w:val="22"/>
                <w:szCs w:val="22"/>
              </w:rPr>
              <w:t xml:space="preserve"> director</w:t>
            </w:r>
          </w:p>
        </w:tc>
        <w:tc>
          <w:tcPr>
            <w:tcW w:w="7654" w:type="dxa"/>
          </w:tcPr>
          <w:p w:rsidR="00F42038" w:rsidRPr="001A6902" w:rsidRDefault="00F42038" w:rsidP="003A6025">
            <w:pPr>
              <w:rPr>
                <w:rFonts w:ascii="Calibri" w:hAnsi="Calibri" w:cs="Calibri"/>
              </w:rPr>
            </w:pPr>
            <w:r w:rsidRPr="001A6902">
              <w:rPr>
                <w:rFonts w:ascii="Calibri" w:hAnsi="Calibri" w:cs="Calibri"/>
                <w:sz w:val="22"/>
                <w:szCs w:val="22"/>
              </w:rPr>
              <w:t xml:space="preserve">Proposals for </w:t>
            </w:r>
            <w:r>
              <w:rPr>
                <w:rFonts w:ascii="Calibri" w:hAnsi="Calibri" w:cs="Calibri"/>
                <w:sz w:val="22"/>
                <w:szCs w:val="22"/>
              </w:rPr>
              <w:t xml:space="preserve">joint </w:t>
            </w:r>
            <w:r w:rsidRPr="001A6902">
              <w:rPr>
                <w:rFonts w:ascii="Calibri" w:hAnsi="Calibri" w:cs="Calibri"/>
                <w:sz w:val="22"/>
                <w:szCs w:val="22"/>
              </w:rPr>
              <w:t>research supervision are under</w:t>
            </w:r>
            <w:r w:rsidR="00785D7E">
              <w:rPr>
                <w:rFonts w:ascii="Calibri" w:hAnsi="Calibri" w:cs="Calibri"/>
                <w:sz w:val="22"/>
                <w:szCs w:val="22"/>
              </w:rPr>
              <w:t xml:space="preserve"> discussion</w:t>
            </w:r>
            <w:r w:rsidRPr="001A6902">
              <w:rPr>
                <w:rFonts w:ascii="Calibri" w:hAnsi="Calibri" w:cs="Calibri"/>
                <w:sz w:val="22"/>
                <w:szCs w:val="22"/>
              </w:rPr>
              <w:t xml:space="preserve"> with Genesis Cancer Care in the Hospital. Furt</w:t>
            </w:r>
            <w:r w:rsidR="002574DC">
              <w:rPr>
                <w:rFonts w:ascii="Calibri" w:hAnsi="Calibri" w:cs="Calibri"/>
                <w:sz w:val="22"/>
                <w:szCs w:val="22"/>
              </w:rPr>
              <w:t>her proposals for undergrad</w:t>
            </w:r>
            <w:r w:rsidR="00785D7E">
              <w:rPr>
                <w:rFonts w:ascii="Calibri" w:hAnsi="Calibri" w:cs="Calibri"/>
                <w:sz w:val="22"/>
                <w:szCs w:val="22"/>
              </w:rPr>
              <w:t>uate</w:t>
            </w:r>
            <w:r w:rsidR="002574DC">
              <w:rPr>
                <w:rFonts w:ascii="Calibri" w:hAnsi="Calibri" w:cs="Calibri"/>
                <w:sz w:val="22"/>
                <w:szCs w:val="22"/>
              </w:rPr>
              <w:t xml:space="preserve"> or M</w:t>
            </w:r>
            <w:r w:rsidRPr="001A6902">
              <w:rPr>
                <w:rFonts w:ascii="Calibri" w:hAnsi="Calibri" w:cs="Calibri"/>
                <w:sz w:val="22"/>
                <w:szCs w:val="22"/>
              </w:rPr>
              <w:t>as</w:t>
            </w:r>
            <w:r w:rsidR="00785D7E">
              <w:rPr>
                <w:rFonts w:ascii="Calibri" w:hAnsi="Calibri" w:cs="Calibri"/>
                <w:sz w:val="22"/>
                <w:szCs w:val="22"/>
              </w:rPr>
              <w:t>ters level training in Medical P</w:t>
            </w:r>
            <w:r w:rsidRPr="001A6902">
              <w:rPr>
                <w:rFonts w:ascii="Calibri" w:hAnsi="Calibri" w:cs="Calibri"/>
                <w:sz w:val="22"/>
                <w:szCs w:val="22"/>
              </w:rPr>
              <w:t xml:space="preserve">hysics are being considered. </w:t>
            </w:r>
          </w:p>
          <w:p w:rsidR="00F42038" w:rsidRPr="001A6902" w:rsidRDefault="00F42038" w:rsidP="003A6025">
            <w:pPr>
              <w:rPr>
                <w:rFonts w:ascii="Calibri" w:hAnsi="Calibri" w:cs="Calibri"/>
              </w:rPr>
            </w:pPr>
            <w:r w:rsidRPr="001A6902">
              <w:rPr>
                <w:rFonts w:ascii="Calibri" w:hAnsi="Calibri" w:cs="Calibri"/>
                <w:sz w:val="22"/>
                <w:szCs w:val="22"/>
              </w:rPr>
              <w:t xml:space="preserve">We are keen to increase our service teaching into medical and human science programs (we successfully offer PHYS149 for biomedical science, but could offer </w:t>
            </w:r>
            <w:r>
              <w:rPr>
                <w:rFonts w:ascii="Calibri" w:hAnsi="Calibri" w:cs="Calibri"/>
                <w:sz w:val="22"/>
                <w:szCs w:val="22"/>
              </w:rPr>
              <w:t>biomechanics for Physio</w:t>
            </w:r>
            <w:r w:rsidR="00785D7E">
              <w:rPr>
                <w:rFonts w:ascii="Calibri" w:hAnsi="Calibri" w:cs="Calibri"/>
                <w:sz w:val="22"/>
                <w:szCs w:val="22"/>
              </w:rPr>
              <w:t>therapy</w:t>
            </w:r>
            <w:r w:rsidRPr="001A6902">
              <w:rPr>
                <w:rFonts w:ascii="Calibri" w:hAnsi="Calibri" w:cs="Calibri"/>
                <w:sz w:val="22"/>
                <w:szCs w:val="22"/>
              </w:rPr>
              <w:t xml:space="preserve"> </w:t>
            </w:r>
            <w:r>
              <w:rPr>
                <w:rFonts w:ascii="Calibri" w:hAnsi="Calibri" w:cs="Calibri"/>
                <w:sz w:val="22"/>
                <w:szCs w:val="22"/>
              </w:rPr>
              <w:t>for example).</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7.2</w:t>
            </w:r>
          </w:p>
        </w:tc>
        <w:tc>
          <w:tcPr>
            <w:tcW w:w="3612" w:type="dxa"/>
          </w:tcPr>
          <w:p w:rsidR="00F42038" w:rsidRPr="001A6902" w:rsidRDefault="00F42038" w:rsidP="003A6025">
            <w:pPr>
              <w:rPr>
                <w:rFonts w:ascii="Calibri" w:hAnsi="Calibri"/>
              </w:rPr>
            </w:pPr>
            <w:r w:rsidRPr="001A6902">
              <w:rPr>
                <w:rFonts w:ascii="Calibri" w:hAnsi="Calibri"/>
                <w:sz w:val="22"/>
                <w:szCs w:val="22"/>
              </w:rPr>
              <w:t>The Department should formulate a decadal plan and from this a medium term action plan to provide a shared vision for the future direction and goals</w:t>
            </w:r>
          </w:p>
        </w:tc>
        <w:tc>
          <w:tcPr>
            <w:tcW w:w="1802" w:type="dxa"/>
          </w:tcPr>
          <w:p w:rsidR="00F42038" w:rsidRPr="001A6902" w:rsidRDefault="00F42038" w:rsidP="002574DC">
            <w:pPr>
              <w:rPr>
                <w:rFonts w:ascii="Calibri" w:hAnsi="Calibri" w:cs="Calibri"/>
              </w:rPr>
            </w:pPr>
            <w:proofErr w:type="spellStart"/>
            <w:r w:rsidRPr="001A6902">
              <w:rPr>
                <w:rFonts w:ascii="Calibri" w:hAnsi="Calibri" w:cs="Calibri"/>
                <w:sz w:val="22"/>
                <w:szCs w:val="22"/>
              </w:rPr>
              <w:t>HoD</w:t>
            </w:r>
            <w:proofErr w:type="spellEnd"/>
            <w:r w:rsidRPr="001A6902">
              <w:rPr>
                <w:rFonts w:ascii="Calibri" w:hAnsi="Calibri" w:cs="Calibri"/>
                <w:sz w:val="22"/>
                <w:szCs w:val="22"/>
              </w:rPr>
              <w:t xml:space="preserve"> and </w:t>
            </w:r>
            <w:r w:rsidR="002574DC">
              <w:rPr>
                <w:rFonts w:ascii="Calibri" w:hAnsi="Calibri" w:cs="Calibri"/>
                <w:sz w:val="22"/>
                <w:szCs w:val="22"/>
              </w:rPr>
              <w:t>Department</w:t>
            </w:r>
            <w:r w:rsidRPr="001A6902">
              <w:rPr>
                <w:rFonts w:ascii="Calibri" w:hAnsi="Calibri" w:cs="Calibri"/>
                <w:sz w:val="22"/>
                <w:szCs w:val="22"/>
              </w:rPr>
              <w:t xml:space="preserve"> executive </w:t>
            </w:r>
          </w:p>
        </w:tc>
        <w:tc>
          <w:tcPr>
            <w:tcW w:w="7654" w:type="dxa"/>
          </w:tcPr>
          <w:p w:rsidR="00F42038" w:rsidRPr="001A6902" w:rsidRDefault="00785D7E" w:rsidP="00785D7E">
            <w:pPr>
              <w:rPr>
                <w:rFonts w:ascii="Calibri" w:hAnsi="Calibri" w:cs="Calibri"/>
                <w:i/>
              </w:rPr>
            </w:pPr>
            <w:r>
              <w:rPr>
                <w:rFonts w:ascii="Calibri" w:hAnsi="Calibri" w:cs="Calibri"/>
                <w:sz w:val="22"/>
                <w:szCs w:val="22"/>
              </w:rPr>
              <w:t>The D</w:t>
            </w:r>
            <w:r w:rsidR="00F42038" w:rsidRPr="001A6902">
              <w:rPr>
                <w:rFonts w:ascii="Calibri" w:hAnsi="Calibri" w:cs="Calibri"/>
                <w:sz w:val="22"/>
                <w:szCs w:val="22"/>
              </w:rPr>
              <w:t xml:space="preserve">epartment is fully engaged in the Framing of Futures MQ Strategic planning process, with a full </w:t>
            </w:r>
            <w:r w:rsidR="002574DC">
              <w:rPr>
                <w:rFonts w:ascii="Calibri" w:hAnsi="Calibri" w:cs="Calibri"/>
                <w:sz w:val="22"/>
                <w:szCs w:val="22"/>
              </w:rPr>
              <w:t>Department</w:t>
            </w:r>
            <w:r w:rsidR="00F42038" w:rsidRPr="001A6902">
              <w:rPr>
                <w:rFonts w:ascii="Calibri" w:hAnsi="Calibri" w:cs="Calibri"/>
                <w:sz w:val="22"/>
                <w:szCs w:val="22"/>
              </w:rPr>
              <w:t xml:space="preserve"> meeting contributing to a recent </w:t>
            </w:r>
            <w:r w:rsidR="002574DC">
              <w:rPr>
                <w:rFonts w:ascii="Calibri" w:hAnsi="Calibri" w:cs="Calibri"/>
                <w:sz w:val="22"/>
                <w:szCs w:val="22"/>
              </w:rPr>
              <w:t>Department</w:t>
            </w:r>
            <w:r w:rsidR="00F42038" w:rsidRPr="001A6902">
              <w:rPr>
                <w:rFonts w:ascii="Calibri" w:hAnsi="Calibri" w:cs="Calibri"/>
                <w:sz w:val="22"/>
                <w:szCs w:val="22"/>
              </w:rPr>
              <w:t xml:space="preserve"> submission. Later in 2013, building on the development of the Faculty of Science strategy, we will develop strategic plans for the department. </w:t>
            </w:r>
            <w:r>
              <w:rPr>
                <w:rFonts w:ascii="Calibri" w:hAnsi="Calibri" w:cs="Calibri"/>
                <w:sz w:val="22"/>
                <w:szCs w:val="22"/>
              </w:rPr>
              <w:t>We will also draw on the recent</w:t>
            </w:r>
            <w:r w:rsidR="00F42038" w:rsidRPr="001A6902">
              <w:rPr>
                <w:rFonts w:ascii="Calibri" w:hAnsi="Calibri" w:cs="Calibri"/>
                <w:sz w:val="22"/>
                <w:szCs w:val="22"/>
              </w:rPr>
              <w:t xml:space="preserve"> Physics Decadal Plan</w:t>
            </w:r>
            <w:r>
              <w:rPr>
                <w:rFonts w:ascii="Calibri" w:hAnsi="Calibri" w:cs="Calibri"/>
                <w:sz w:val="22"/>
                <w:szCs w:val="22"/>
              </w:rPr>
              <w:t xml:space="preserve"> for Australia formulated by a C</w:t>
            </w:r>
            <w:r w:rsidR="00F42038" w:rsidRPr="001A6902">
              <w:rPr>
                <w:rFonts w:ascii="Calibri" w:hAnsi="Calibri" w:cs="Calibri"/>
                <w:sz w:val="22"/>
                <w:szCs w:val="22"/>
              </w:rPr>
              <w:t xml:space="preserve">ommittee of the National Academies. </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7.3</w:t>
            </w:r>
          </w:p>
        </w:tc>
        <w:tc>
          <w:tcPr>
            <w:tcW w:w="3612" w:type="dxa"/>
          </w:tcPr>
          <w:p w:rsidR="00F42038" w:rsidRPr="001A6902" w:rsidRDefault="00F42038" w:rsidP="003A6025">
            <w:pPr>
              <w:rPr>
                <w:rFonts w:ascii="Calibri" w:hAnsi="Calibri"/>
              </w:rPr>
            </w:pPr>
            <w:r w:rsidRPr="001A6902">
              <w:rPr>
                <w:rFonts w:ascii="Calibri" w:hAnsi="Calibri"/>
                <w:sz w:val="22"/>
                <w:szCs w:val="22"/>
              </w:rPr>
              <w:t>Departmental contingency-based financial planning should address the vulnerabilities identified in the research and student income sources</w:t>
            </w:r>
          </w:p>
        </w:tc>
        <w:tc>
          <w:tcPr>
            <w:tcW w:w="1802" w:type="dxa"/>
          </w:tcPr>
          <w:p w:rsidR="00F42038" w:rsidRPr="001A6902" w:rsidRDefault="00F42038" w:rsidP="003A6025">
            <w:pPr>
              <w:rPr>
                <w:rFonts w:ascii="Calibri" w:hAnsi="Calibri" w:cs="Calibri"/>
              </w:rPr>
            </w:pPr>
            <w:proofErr w:type="spellStart"/>
            <w:r w:rsidRPr="001A6902">
              <w:rPr>
                <w:rFonts w:ascii="Calibri" w:hAnsi="Calibri" w:cs="Calibri"/>
                <w:sz w:val="22"/>
                <w:szCs w:val="22"/>
              </w:rPr>
              <w:t>HoD</w:t>
            </w:r>
            <w:proofErr w:type="spellEnd"/>
            <w:r w:rsidRPr="001A6902">
              <w:rPr>
                <w:rFonts w:ascii="Calibri" w:hAnsi="Calibri" w:cs="Calibri"/>
                <w:sz w:val="22"/>
                <w:szCs w:val="22"/>
              </w:rPr>
              <w:t xml:space="preserve"> and Exec Dean</w:t>
            </w:r>
          </w:p>
        </w:tc>
        <w:tc>
          <w:tcPr>
            <w:tcW w:w="7654" w:type="dxa"/>
          </w:tcPr>
          <w:p w:rsidR="00F42038" w:rsidRPr="001A6902" w:rsidRDefault="00785D7E" w:rsidP="00785D7E">
            <w:pPr>
              <w:rPr>
                <w:rFonts w:ascii="Calibri" w:hAnsi="Calibri" w:cs="Calibri"/>
              </w:rPr>
            </w:pPr>
            <w:r>
              <w:rPr>
                <w:rFonts w:ascii="Calibri" w:hAnsi="Calibri" w:cs="Calibri"/>
                <w:sz w:val="22"/>
                <w:szCs w:val="22"/>
              </w:rPr>
              <w:t>Over the longer term, w</w:t>
            </w:r>
            <w:r w:rsidR="00F42038" w:rsidRPr="001A6902">
              <w:rPr>
                <w:rFonts w:ascii="Calibri" w:hAnsi="Calibri" w:cs="Calibri"/>
                <w:sz w:val="22"/>
                <w:szCs w:val="22"/>
              </w:rPr>
              <w:t xml:space="preserve">e plan to strengthen our service teaching into </w:t>
            </w:r>
            <w:r>
              <w:rPr>
                <w:rFonts w:ascii="Calibri" w:hAnsi="Calibri" w:cs="Calibri"/>
                <w:sz w:val="22"/>
                <w:szCs w:val="22"/>
              </w:rPr>
              <w:t>Engineering and H</w:t>
            </w:r>
            <w:r w:rsidR="00F42038" w:rsidRPr="001A6902">
              <w:rPr>
                <w:rFonts w:ascii="Calibri" w:hAnsi="Calibri" w:cs="Calibri"/>
                <w:sz w:val="22"/>
                <w:szCs w:val="22"/>
              </w:rPr>
              <w:t xml:space="preserve">uman sciences.  We aim to grow our domestic HDR population through a strong </w:t>
            </w:r>
            <w:proofErr w:type="spellStart"/>
            <w:r w:rsidR="00F42038" w:rsidRPr="001A6902">
              <w:rPr>
                <w:rFonts w:ascii="Calibri" w:hAnsi="Calibri" w:cs="Calibri"/>
                <w:sz w:val="22"/>
                <w:szCs w:val="22"/>
              </w:rPr>
              <w:t>MRes</w:t>
            </w:r>
            <w:proofErr w:type="spellEnd"/>
            <w:r w:rsidR="00F42038" w:rsidRPr="001A6902">
              <w:rPr>
                <w:rFonts w:ascii="Calibri" w:hAnsi="Calibri" w:cs="Calibri"/>
                <w:sz w:val="22"/>
                <w:szCs w:val="22"/>
              </w:rPr>
              <w:t xml:space="preserve"> coursework offering and will increase our mentoring program for undergraduate students to improve retention of strong students.</w:t>
            </w:r>
          </w:p>
        </w:tc>
      </w:tr>
      <w:tr w:rsidR="00F42038" w:rsidRPr="001A6902" w:rsidTr="003A6025">
        <w:tc>
          <w:tcPr>
            <w:tcW w:w="648" w:type="dxa"/>
          </w:tcPr>
          <w:p w:rsidR="00F42038" w:rsidRPr="001A6902" w:rsidRDefault="00F42038" w:rsidP="003A6025">
            <w:pPr>
              <w:rPr>
                <w:rFonts w:ascii="Calibri" w:hAnsi="Calibri" w:cs="Calibri"/>
              </w:rPr>
            </w:pPr>
            <w:r w:rsidRPr="001A6902">
              <w:rPr>
                <w:rFonts w:ascii="Calibri" w:hAnsi="Calibri" w:cs="Calibri"/>
                <w:sz w:val="22"/>
                <w:szCs w:val="22"/>
              </w:rPr>
              <w:t>7.4</w:t>
            </w:r>
          </w:p>
        </w:tc>
        <w:tc>
          <w:tcPr>
            <w:tcW w:w="3612" w:type="dxa"/>
          </w:tcPr>
          <w:p w:rsidR="00F42038" w:rsidRPr="001A6902" w:rsidRDefault="00F42038" w:rsidP="003A6025">
            <w:pPr>
              <w:rPr>
                <w:rFonts w:ascii="Calibri" w:hAnsi="Calibri"/>
              </w:rPr>
            </w:pPr>
            <w:r w:rsidRPr="001A6902">
              <w:rPr>
                <w:rFonts w:ascii="Calibri" w:hAnsi="Calibri"/>
                <w:sz w:val="22"/>
                <w:szCs w:val="22"/>
              </w:rPr>
              <w:t>The Department should look for possible partners for Centres of Excellence proposals</w:t>
            </w:r>
          </w:p>
        </w:tc>
        <w:tc>
          <w:tcPr>
            <w:tcW w:w="1802" w:type="dxa"/>
          </w:tcPr>
          <w:p w:rsidR="00F42038" w:rsidRPr="001A6902" w:rsidRDefault="00F42038" w:rsidP="003A6025">
            <w:pPr>
              <w:rPr>
                <w:rFonts w:ascii="Calibri" w:hAnsi="Calibri" w:cs="Calibri"/>
              </w:rPr>
            </w:pPr>
            <w:r w:rsidRPr="001A6902">
              <w:rPr>
                <w:rFonts w:ascii="Calibri" w:hAnsi="Calibri" w:cs="Calibri"/>
                <w:sz w:val="22"/>
                <w:szCs w:val="22"/>
              </w:rPr>
              <w:t>Senior researchers</w:t>
            </w:r>
          </w:p>
        </w:tc>
        <w:tc>
          <w:tcPr>
            <w:tcW w:w="7654" w:type="dxa"/>
          </w:tcPr>
          <w:p w:rsidR="00F42038" w:rsidRPr="001A6902" w:rsidRDefault="00785D7E" w:rsidP="00D95A3D">
            <w:pPr>
              <w:rPr>
                <w:rFonts w:ascii="Calibri" w:hAnsi="Calibri" w:cs="Calibri"/>
              </w:rPr>
            </w:pPr>
            <w:r>
              <w:rPr>
                <w:rFonts w:ascii="Calibri" w:hAnsi="Calibri" w:cs="Calibri"/>
                <w:sz w:val="22"/>
                <w:szCs w:val="22"/>
              </w:rPr>
              <w:t>Three</w:t>
            </w:r>
            <w:r w:rsidR="00F42038" w:rsidRPr="001A6902">
              <w:rPr>
                <w:rFonts w:ascii="Calibri" w:hAnsi="Calibri" w:cs="Calibri"/>
                <w:sz w:val="22"/>
                <w:szCs w:val="22"/>
              </w:rPr>
              <w:t xml:space="preserve"> external </w:t>
            </w:r>
            <w:proofErr w:type="spellStart"/>
            <w:r w:rsidR="00F42038" w:rsidRPr="001A6902">
              <w:rPr>
                <w:rFonts w:ascii="Calibri" w:hAnsi="Calibri" w:cs="Calibri"/>
                <w:sz w:val="22"/>
                <w:szCs w:val="22"/>
              </w:rPr>
              <w:t>CoE</w:t>
            </w:r>
            <w:proofErr w:type="spellEnd"/>
            <w:r w:rsidR="00F42038" w:rsidRPr="001A6902">
              <w:rPr>
                <w:rFonts w:ascii="Calibri" w:hAnsi="Calibri" w:cs="Calibri"/>
                <w:sz w:val="22"/>
                <w:szCs w:val="22"/>
              </w:rPr>
              <w:t xml:space="preserve"> bids in preparation include MQ Physics staff. </w:t>
            </w:r>
          </w:p>
        </w:tc>
      </w:tr>
    </w:tbl>
    <w:p w:rsidR="00F42038" w:rsidRPr="001A6902" w:rsidRDefault="00F42038" w:rsidP="00F16E3A">
      <w:pPr>
        <w:rPr>
          <w:sz w:val="22"/>
        </w:rPr>
      </w:pPr>
    </w:p>
    <w:sectPr w:rsidR="00F42038" w:rsidRPr="001A6902" w:rsidSect="002138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00"/>
    <w:multiLevelType w:val="hybridMultilevel"/>
    <w:tmpl w:val="7E96B060"/>
    <w:lvl w:ilvl="0" w:tplc="86F01F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8D4215"/>
    <w:multiLevelType w:val="hybridMultilevel"/>
    <w:tmpl w:val="0290B7C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6E"/>
    <w:rsid w:val="00053187"/>
    <w:rsid w:val="00054D8E"/>
    <w:rsid w:val="00127E57"/>
    <w:rsid w:val="001A6902"/>
    <w:rsid w:val="001D7D74"/>
    <w:rsid w:val="0021386E"/>
    <w:rsid w:val="002518FE"/>
    <w:rsid w:val="002574DC"/>
    <w:rsid w:val="00297CC8"/>
    <w:rsid w:val="002A128E"/>
    <w:rsid w:val="002F42C1"/>
    <w:rsid w:val="003A6025"/>
    <w:rsid w:val="00415E76"/>
    <w:rsid w:val="00496F35"/>
    <w:rsid w:val="004D7F11"/>
    <w:rsid w:val="0051273D"/>
    <w:rsid w:val="005A4C2A"/>
    <w:rsid w:val="00637A0D"/>
    <w:rsid w:val="006606D2"/>
    <w:rsid w:val="00682565"/>
    <w:rsid w:val="006857DD"/>
    <w:rsid w:val="00694EE1"/>
    <w:rsid w:val="006A2CEE"/>
    <w:rsid w:val="006C0AEE"/>
    <w:rsid w:val="0072795E"/>
    <w:rsid w:val="00765605"/>
    <w:rsid w:val="00785D7E"/>
    <w:rsid w:val="00786BB3"/>
    <w:rsid w:val="007F5CAD"/>
    <w:rsid w:val="00830895"/>
    <w:rsid w:val="00862D8A"/>
    <w:rsid w:val="00873246"/>
    <w:rsid w:val="00882091"/>
    <w:rsid w:val="00A61540"/>
    <w:rsid w:val="00AD7D06"/>
    <w:rsid w:val="00B40D02"/>
    <w:rsid w:val="00BF19B6"/>
    <w:rsid w:val="00C63079"/>
    <w:rsid w:val="00CA1975"/>
    <w:rsid w:val="00CE1101"/>
    <w:rsid w:val="00D07291"/>
    <w:rsid w:val="00D7683B"/>
    <w:rsid w:val="00D95A3D"/>
    <w:rsid w:val="00F16E3A"/>
    <w:rsid w:val="00F42038"/>
    <w:rsid w:val="00F65D0F"/>
    <w:rsid w:val="00F87894"/>
    <w:rsid w:val="00FC30D8"/>
    <w:rsid w:val="00FE31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6E"/>
    <w:rPr>
      <w:rFonts w:ascii="Times New Roman" w:eastAsia="Times New Roman" w:hAnsi="Times New Roman"/>
      <w:sz w:val="24"/>
      <w:szCs w:val="24"/>
      <w:lang w:val="en-AU" w:eastAsia="en-AU"/>
    </w:rPr>
  </w:style>
  <w:style w:type="paragraph" w:styleId="Heading1">
    <w:name w:val="heading 1"/>
    <w:basedOn w:val="Normal"/>
    <w:next w:val="Normal"/>
    <w:link w:val="Heading1Char"/>
    <w:uiPriority w:val="99"/>
    <w:qFormat/>
    <w:rsid w:val="002138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138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13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86E"/>
    <w:rPr>
      <w:rFonts w:ascii="Arial" w:hAnsi="Arial" w:cs="Arial"/>
      <w:b/>
      <w:bCs/>
      <w:kern w:val="32"/>
      <w:sz w:val="32"/>
      <w:szCs w:val="32"/>
      <w:lang w:eastAsia="en-AU"/>
    </w:rPr>
  </w:style>
  <w:style w:type="character" w:customStyle="1" w:styleId="Heading2Char">
    <w:name w:val="Heading 2 Char"/>
    <w:basedOn w:val="DefaultParagraphFont"/>
    <w:link w:val="Heading2"/>
    <w:uiPriority w:val="99"/>
    <w:locked/>
    <w:rsid w:val="0021386E"/>
    <w:rPr>
      <w:rFonts w:ascii="Arial" w:hAnsi="Arial" w:cs="Arial"/>
      <w:b/>
      <w:bCs/>
      <w:i/>
      <w:iCs/>
      <w:sz w:val="28"/>
      <w:szCs w:val="28"/>
      <w:lang w:eastAsia="en-AU"/>
    </w:rPr>
  </w:style>
  <w:style w:type="character" w:customStyle="1" w:styleId="Heading3Char">
    <w:name w:val="Heading 3 Char"/>
    <w:basedOn w:val="DefaultParagraphFont"/>
    <w:link w:val="Heading3"/>
    <w:uiPriority w:val="99"/>
    <w:locked/>
    <w:rsid w:val="0021386E"/>
    <w:rPr>
      <w:rFonts w:ascii="Arial" w:hAnsi="Arial" w:cs="Arial"/>
      <w:b/>
      <w:bCs/>
      <w:sz w:val="26"/>
      <w:szCs w:val="26"/>
      <w:lang w:eastAsia="en-AU"/>
    </w:rPr>
  </w:style>
  <w:style w:type="paragraph" w:styleId="BalloonText">
    <w:name w:val="Balloon Text"/>
    <w:basedOn w:val="Normal"/>
    <w:link w:val="BalloonTextChar"/>
    <w:uiPriority w:val="99"/>
    <w:semiHidden/>
    <w:rsid w:val="002138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86E"/>
    <w:rPr>
      <w:rFonts w:ascii="Tahoma" w:hAnsi="Tahoma" w:cs="Tahoma"/>
      <w:sz w:val="16"/>
      <w:szCs w:val="16"/>
      <w:lang w:eastAsia="en-AU"/>
    </w:rPr>
  </w:style>
  <w:style w:type="paragraph" w:styleId="ListParagraph">
    <w:name w:val="List Paragraph"/>
    <w:basedOn w:val="Normal"/>
    <w:uiPriority w:val="99"/>
    <w:qFormat/>
    <w:rsid w:val="002A1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6E"/>
    <w:rPr>
      <w:rFonts w:ascii="Times New Roman" w:eastAsia="Times New Roman" w:hAnsi="Times New Roman"/>
      <w:sz w:val="24"/>
      <w:szCs w:val="24"/>
      <w:lang w:val="en-AU" w:eastAsia="en-AU"/>
    </w:rPr>
  </w:style>
  <w:style w:type="paragraph" w:styleId="Heading1">
    <w:name w:val="heading 1"/>
    <w:basedOn w:val="Normal"/>
    <w:next w:val="Normal"/>
    <w:link w:val="Heading1Char"/>
    <w:uiPriority w:val="99"/>
    <w:qFormat/>
    <w:rsid w:val="002138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138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138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86E"/>
    <w:rPr>
      <w:rFonts w:ascii="Arial" w:hAnsi="Arial" w:cs="Arial"/>
      <w:b/>
      <w:bCs/>
      <w:kern w:val="32"/>
      <w:sz w:val="32"/>
      <w:szCs w:val="32"/>
      <w:lang w:eastAsia="en-AU"/>
    </w:rPr>
  </w:style>
  <w:style w:type="character" w:customStyle="1" w:styleId="Heading2Char">
    <w:name w:val="Heading 2 Char"/>
    <w:basedOn w:val="DefaultParagraphFont"/>
    <w:link w:val="Heading2"/>
    <w:uiPriority w:val="99"/>
    <w:locked/>
    <w:rsid w:val="0021386E"/>
    <w:rPr>
      <w:rFonts w:ascii="Arial" w:hAnsi="Arial" w:cs="Arial"/>
      <w:b/>
      <w:bCs/>
      <w:i/>
      <w:iCs/>
      <w:sz w:val="28"/>
      <w:szCs w:val="28"/>
      <w:lang w:eastAsia="en-AU"/>
    </w:rPr>
  </w:style>
  <w:style w:type="character" w:customStyle="1" w:styleId="Heading3Char">
    <w:name w:val="Heading 3 Char"/>
    <w:basedOn w:val="DefaultParagraphFont"/>
    <w:link w:val="Heading3"/>
    <w:uiPriority w:val="99"/>
    <w:locked/>
    <w:rsid w:val="0021386E"/>
    <w:rPr>
      <w:rFonts w:ascii="Arial" w:hAnsi="Arial" w:cs="Arial"/>
      <w:b/>
      <w:bCs/>
      <w:sz w:val="26"/>
      <w:szCs w:val="26"/>
      <w:lang w:eastAsia="en-AU"/>
    </w:rPr>
  </w:style>
  <w:style w:type="paragraph" w:styleId="BalloonText">
    <w:name w:val="Balloon Text"/>
    <w:basedOn w:val="Normal"/>
    <w:link w:val="BalloonTextChar"/>
    <w:uiPriority w:val="99"/>
    <w:semiHidden/>
    <w:rsid w:val="002138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86E"/>
    <w:rPr>
      <w:rFonts w:ascii="Tahoma" w:hAnsi="Tahoma" w:cs="Tahoma"/>
      <w:sz w:val="16"/>
      <w:szCs w:val="16"/>
      <w:lang w:eastAsia="en-AU"/>
    </w:rPr>
  </w:style>
  <w:style w:type="paragraph" w:styleId="ListParagraph">
    <w:name w:val="List Paragraph"/>
    <w:basedOn w:val="Normal"/>
    <w:uiPriority w:val="99"/>
    <w:qFormat/>
    <w:rsid w:val="002A1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2433</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IT Support</cp:lastModifiedBy>
  <cp:revision>2</cp:revision>
  <cp:lastPrinted>2013-04-30T05:32:00Z</cp:lastPrinted>
  <dcterms:created xsi:type="dcterms:W3CDTF">2013-05-08T22:27:00Z</dcterms:created>
  <dcterms:modified xsi:type="dcterms:W3CDTF">2013-05-08T22:27:00Z</dcterms:modified>
</cp:coreProperties>
</file>