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068"/>
        <w:gridCol w:w="4454"/>
      </w:tblGrid>
      <w:tr w:rsidR="005142B4" w:rsidTr="000E537A">
        <w:tc>
          <w:tcPr>
            <w:tcW w:w="4068" w:type="dxa"/>
            <w:shd w:val="clear" w:color="auto" w:fill="auto"/>
          </w:tcPr>
          <w:p w:rsidR="005142B4" w:rsidRDefault="00BA65D4" w:rsidP="002562BF">
            <w:pPr>
              <w:jc w:val="both"/>
            </w:pPr>
            <w:bookmarkStart w:id="0" w:name="_GoBack"/>
            <w:bookmarkEnd w:id="0"/>
            <w:r>
              <w:rPr>
                <w:noProof/>
              </w:rPr>
              <w:drawing>
                <wp:inline distT="0" distB="0" distL="0" distR="0">
                  <wp:extent cx="2400300" cy="790575"/>
                  <wp:effectExtent l="0" t="0" r="0" b="9525"/>
                  <wp:docPr id="1" name="Picture 1" descr="MQ inlin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Q inline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790575"/>
                          </a:xfrm>
                          <a:prstGeom prst="rect">
                            <a:avLst/>
                          </a:prstGeom>
                          <a:noFill/>
                          <a:ln>
                            <a:noFill/>
                          </a:ln>
                        </pic:spPr>
                      </pic:pic>
                    </a:graphicData>
                  </a:graphic>
                </wp:inline>
              </w:drawing>
            </w:r>
          </w:p>
        </w:tc>
        <w:tc>
          <w:tcPr>
            <w:tcW w:w="4454" w:type="dxa"/>
            <w:shd w:val="clear" w:color="auto" w:fill="auto"/>
          </w:tcPr>
          <w:p w:rsidR="005142B4" w:rsidRDefault="005142B4" w:rsidP="002562BF">
            <w:pPr>
              <w:jc w:val="both"/>
            </w:pPr>
          </w:p>
          <w:p w:rsidR="005142B4" w:rsidRDefault="008F60FC" w:rsidP="002562BF">
            <w:pPr>
              <w:pStyle w:val="Heading1"/>
              <w:jc w:val="both"/>
            </w:pPr>
            <w:r>
              <w:t>Faculty of Arts</w:t>
            </w:r>
          </w:p>
        </w:tc>
      </w:tr>
    </w:tbl>
    <w:p w:rsidR="005142B4" w:rsidRDefault="005142B4" w:rsidP="002562BF">
      <w:pPr>
        <w:jc w:val="both"/>
      </w:pPr>
    </w:p>
    <w:p w:rsidR="005142B4" w:rsidRDefault="008F60FC" w:rsidP="002562BF">
      <w:pPr>
        <w:pStyle w:val="Heading1"/>
        <w:jc w:val="both"/>
      </w:pPr>
      <w:r>
        <w:t>Faculty of Arts</w:t>
      </w:r>
      <w:r w:rsidR="00681715">
        <w:t xml:space="preserve"> Review, </w:t>
      </w:r>
      <w:r w:rsidR="00A04945">
        <w:t xml:space="preserve">June </w:t>
      </w:r>
      <w:r w:rsidR="004C7AB1">
        <w:t xml:space="preserve">30 – July 2, </w:t>
      </w:r>
      <w:r w:rsidR="00681715">
        <w:t>2014</w:t>
      </w:r>
    </w:p>
    <w:p w:rsidR="00630418" w:rsidRPr="00630418" w:rsidRDefault="003C0F5E" w:rsidP="002562BF">
      <w:pPr>
        <w:pStyle w:val="Heading1"/>
        <w:keepNext w:val="0"/>
        <w:spacing w:before="300" w:after="40" w:line="276" w:lineRule="auto"/>
        <w:ind w:left="360" w:hanging="360"/>
        <w:jc w:val="both"/>
        <w:rPr>
          <w:rFonts w:eastAsia="Calibri"/>
        </w:rPr>
      </w:pPr>
      <w:r>
        <w:rPr>
          <w:rFonts w:eastAsia="Calibri"/>
        </w:rPr>
        <w:t>Purpose</w:t>
      </w:r>
    </w:p>
    <w:p w:rsidR="006310D3" w:rsidRPr="00CA0CA8" w:rsidRDefault="00630418" w:rsidP="002562BF">
      <w:pPr>
        <w:jc w:val="both"/>
        <w:rPr>
          <w:rFonts w:eastAsia="Calibri"/>
        </w:rPr>
      </w:pPr>
      <w:r w:rsidRPr="00CA0CA8">
        <w:rPr>
          <w:rFonts w:eastAsia="Calibri"/>
        </w:rPr>
        <w:t>The 201</w:t>
      </w:r>
      <w:r w:rsidR="006310D3" w:rsidRPr="00CA0CA8">
        <w:rPr>
          <w:rFonts w:eastAsia="Calibri"/>
        </w:rPr>
        <w:t>4</w:t>
      </w:r>
      <w:r w:rsidRPr="00CA0CA8">
        <w:rPr>
          <w:rFonts w:eastAsia="Calibri"/>
        </w:rPr>
        <w:t xml:space="preserve"> review of the Faculty of </w:t>
      </w:r>
      <w:r w:rsidR="006310D3" w:rsidRPr="00CA0CA8">
        <w:rPr>
          <w:rFonts w:eastAsia="Calibri"/>
        </w:rPr>
        <w:t>Arts</w:t>
      </w:r>
      <w:r w:rsidRPr="00CA0CA8">
        <w:rPr>
          <w:rFonts w:eastAsia="Calibri"/>
        </w:rPr>
        <w:t xml:space="preserve"> will enable the Vice-Chancellor to assess the Faculty’s performance within the context of the University’s strategic directions and objectives. The review will be forward looking, generating evidence to support the University’s strategic claims and the Faculty’s capacity to deliver its mission</w:t>
      </w:r>
      <w:r w:rsidR="0072232A">
        <w:rPr>
          <w:rFonts w:eastAsia="Calibri"/>
        </w:rPr>
        <w:t xml:space="preserve"> and to inform decision making.</w:t>
      </w:r>
    </w:p>
    <w:p w:rsidR="00630418" w:rsidRDefault="00630418" w:rsidP="002562BF">
      <w:pPr>
        <w:jc w:val="both"/>
        <w:rPr>
          <w:rFonts w:eastAsia="Calibri"/>
        </w:rPr>
      </w:pPr>
      <w:r w:rsidRPr="00CA0CA8">
        <w:rPr>
          <w:rFonts w:eastAsia="Calibri"/>
        </w:rPr>
        <w:t xml:space="preserve">The Faculty Review can be drawn upon for the purposes of input to the </w:t>
      </w:r>
      <w:r w:rsidRPr="00CA0CA8">
        <w:rPr>
          <w:rFonts w:eastAsia="Calibri"/>
          <w:i/>
        </w:rPr>
        <w:t>Our University - A Framing of Futures</w:t>
      </w:r>
      <w:r w:rsidRPr="00CA0CA8">
        <w:rPr>
          <w:rFonts w:eastAsia="Calibri"/>
        </w:rPr>
        <w:t xml:space="preserve"> - a major University wide planning initiative</w:t>
      </w:r>
      <w:r w:rsidR="006310D3" w:rsidRPr="00CA0CA8">
        <w:rPr>
          <w:rFonts w:eastAsia="Calibri"/>
        </w:rPr>
        <w:t xml:space="preserve"> commenced in 2013.</w:t>
      </w:r>
    </w:p>
    <w:p w:rsidR="005E0938" w:rsidRPr="00CA0CA8" w:rsidRDefault="005E0938" w:rsidP="002562BF">
      <w:pPr>
        <w:jc w:val="both"/>
        <w:rPr>
          <w:rFonts w:eastAsia="Calibri"/>
        </w:rPr>
      </w:pPr>
    </w:p>
    <w:p w:rsidR="00630418" w:rsidRDefault="00630418" w:rsidP="002562BF">
      <w:pPr>
        <w:jc w:val="both"/>
        <w:rPr>
          <w:rFonts w:eastAsia="Calibri"/>
        </w:rPr>
      </w:pPr>
      <w:r w:rsidRPr="00CA0CA8">
        <w:rPr>
          <w:rFonts w:eastAsia="Calibri"/>
        </w:rPr>
        <w:t>The review will</w:t>
      </w:r>
      <w:r w:rsidR="005E0938">
        <w:rPr>
          <w:rFonts w:eastAsia="Calibri"/>
        </w:rPr>
        <w:t xml:space="preserve"> critically evaluate</w:t>
      </w:r>
      <w:r w:rsidRPr="00CA0CA8">
        <w:rPr>
          <w:rFonts w:eastAsia="Calibri"/>
        </w:rPr>
        <w:t xml:space="preserve">: </w:t>
      </w:r>
    </w:p>
    <w:p w:rsidR="00630418" w:rsidRPr="008B1458" w:rsidRDefault="007C191F" w:rsidP="002562BF">
      <w:pPr>
        <w:numPr>
          <w:ilvl w:val="0"/>
          <w:numId w:val="6"/>
        </w:numPr>
        <w:jc w:val="both"/>
        <w:rPr>
          <w:b/>
          <w:smallCaps/>
          <w:spacing w:val="5"/>
        </w:rPr>
      </w:pPr>
      <w:r>
        <w:rPr>
          <w:rFonts w:eastAsia="Calibri"/>
        </w:rPr>
        <w:t>What we do:</w:t>
      </w:r>
      <w:r w:rsidR="005E0938" w:rsidRPr="008B1458">
        <w:rPr>
          <w:rFonts w:eastAsia="Calibri"/>
        </w:rPr>
        <w:t xml:space="preserve"> the current performance </w:t>
      </w:r>
      <w:r w:rsidR="00630418" w:rsidRPr="008B1458">
        <w:rPr>
          <w:rFonts w:eastAsia="Calibri"/>
        </w:rPr>
        <w:t xml:space="preserve">of the Faculty; </w:t>
      </w:r>
    </w:p>
    <w:p w:rsidR="00630418" w:rsidRPr="008B1458" w:rsidRDefault="007C191F" w:rsidP="002562BF">
      <w:pPr>
        <w:numPr>
          <w:ilvl w:val="0"/>
          <w:numId w:val="6"/>
        </w:numPr>
        <w:jc w:val="both"/>
        <w:rPr>
          <w:rFonts w:eastAsia="Calibri"/>
        </w:rPr>
      </w:pPr>
      <w:r>
        <w:rPr>
          <w:rFonts w:eastAsia="Calibri"/>
        </w:rPr>
        <w:t>How we do it:</w:t>
      </w:r>
      <w:r w:rsidR="00630418" w:rsidRPr="008B1458">
        <w:rPr>
          <w:rFonts w:eastAsia="Calibri"/>
        </w:rPr>
        <w:t xml:space="preserve"> the extent to which Faculty activities support the goals of t</w:t>
      </w:r>
      <w:r w:rsidR="005E0938" w:rsidRPr="008B1458">
        <w:rPr>
          <w:rFonts w:eastAsia="Calibri"/>
        </w:rPr>
        <w:t>he University’s Strategic Plan;</w:t>
      </w:r>
    </w:p>
    <w:p w:rsidR="005E0938" w:rsidRPr="008B1458" w:rsidRDefault="005E0938" w:rsidP="002562BF">
      <w:pPr>
        <w:numPr>
          <w:ilvl w:val="0"/>
          <w:numId w:val="6"/>
        </w:numPr>
        <w:jc w:val="both"/>
        <w:rPr>
          <w:rFonts w:eastAsia="Calibri"/>
        </w:rPr>
      </w:pPr>
      <w:r w:rsidRPr="008B1458">
        <w:rPr>
          <w:rFonts w:eastAsia="Calibri"/>
        </w:rPr>
        <w:t xml:space="preserve">How we support it: </w:t>
      </w:r>
      <w:r w:rsidR="00040807" w:rsidRPr="008B1458">
        <w:rPr>
          <w:rFonts w:eastAsia="Calibri"/>
        </w:rPr>
        <w:t xml:space="preserve">the deployment of Faculty resources; </w:t>
      </w:r>
    </w:p>
    <w:p w:rsidR="00040807" w:rsidRPr="008B1458" w:rsidRDefault="007C191F" w:rsidP="002562BF">
      <w:pPr>
        <w:numPr>
          <w:ilvl w:val="0"/>
          <w:numId w:val="6"/>
        </w:numPr>
        <w:jc w:val="both"/>
        <w:rPr>
          <w:rFonts w:eastAsia="Calibri"/>
        </w:rPr>
      </w:pPr>
      <w:r>
        <w:rPr>
          <w:rFonts w:eastAsia="Calibri"/>
        </w:rPr>
        <w:t>How we improve it:</w:t>
      </w:r>
      <w:r w:rsidR="005E0938" w:rsidRPr="008B1458">
        <w:rPr>
          <w:rFonts w:eastAsia="Calibri"/>
        </w:rPr>
        <w:t xml:space="preserve"> </w:t>
      </w:r>
      <w:r w:rsidR="00EB07BA" w:rsidRPr="008B1458">
        <w:rPr>
          <w:rFonts w:eastAsia="Calibri"/>
        </w:rPr>
        <w:t xml:space="preserve">enhancement strategies.  </w:t>
      </w:r>
    </w:p>
    <w:p w:rsidR="00040807" w:rsidRDefault="00040807" w:rsidP="002562BF">
      <w:pPr>
        <w:ind w:left="720"/>
        <w:jc w:val="both"/>
        <w:rPr>
          <w:rFonts w:eastAsia="Calibri"/>
        </w:rPr>
      </w:pPr>
    </w:p>
    <w:p w:rsidR="009616BD" w:rsidRPr="00040807" w:rsidRDefault="009616BD" w:rsidP="002562BF">
      <w:pPr>
        <w:jc w:val="both"/>
        <w:rPr>
          <w:rFonts w:eastAsia="Calibri"/>
          <w:b/>
        </w:rPr>
      </w:pPr>
      <w:r w:rsidRPr="00040807">
        <w:rPr>
          <w:b/>
        </w:rPr>
        <w:t>Background</w:t>
      </w:r>
    </w:p>
    <w:p w:rsidR="00040807" w:rsidRDefault="00040807" w:rsidP="002562BF">
      <w:pPr>
        <w:jc w:val="both"/>
      </w:pPr>
    </w:p>
    <w:p w:rsidR="009616BD" w:rsidRDefault="009616BD" w:rsidP="002562BF">
      <w:pPr>
        <w:jc w:val="both"/>
        <w:rPr>
          <w:rFonts w:eastAsia="Calibri"/>
        </w:rPr>
      </w:pPr>
      <w:r w:rsidRPr="00CA0CA8">
        <w:t xml:space="preserve">A review of the academic structure of Macquarie University resulted in the establishment of the Faculty of </w:t>
      </w:r>
      <w:r w:rsidR="006310D3" w:rsidRPr="00CA0CA8">
        <w:t>Arts</w:t>
      </w:r>
      <w:r w:rsidRPr="00CA0CA8">
        <w:t xml:space="preserve"> (F</w:t>
      </w:r>
      <w:r w:rsidR="006310D3" w:rsidRPr="00CA0CA8">
        <w:t>oA</w:t>
      </w:r>
      <w:r w:rsidRPr="00CA0CA8">
        <w:t>) in 2009. The new F</w:t>
      </w:r>
      <w:r w:rsidR="006310D3" w:rsidRPr="00CA0CA8">
        <w:t>oA</w:t>
      </w:r>
      <w:r w:rsidRPr="00CA0CA8">
        <w:t xml:space="preserve"> drew together many Departments from the previous Division of </w:t>
      </w:r>
      <w:r w:rsidR="006310D3" w:rsidRPr="00CA0CA8">
        <w:t>Humanities</w:t>
      </w:r>
      <w:r w:rsidR="00235B63">
        <w:t>,</w:t>
      </w:r>
      <w:r w:rsidR="006310D3" w:rsidRPr="00CA0CA8">
        <w:t xml:space="preserve"> Division of S</w:t>
      </w:r>
      <w:r w:rsidR="001178E4">
        <w:t xml:space="preserve">ociety, </w:t>
      </w:r>
      <w:r w:rsidR="006310D3" w:rsidRPr="00CA0CA8">
        <w:t>C</w:t>
      </w:r>
      <w:r w:rsidR="001178E4">
        <w:t xml:space="preserve">ulture, </w:t>
      </w:r>
      <w:r w:rsidR="006310D3" w:rsidRPr="00CA0CA8">
        <w:t>M</w:t>
      </w:r>
      <w:r w:rsidR="001178E4">
        <w:t xml:space="preserve">edia and </w:t>
      </w:r>
      <w:r w:rsidR="006310D3" w:rsidRPr="00CA0CA8">
        <w:t>P</w:t>
      </w:r>
      <w:r w:rsidR="001178E4">
        <w:t>hilosop</w:t>
      </w:r>
      <w:r w:rsidR="00B73EA8">
        <w:t>h</w:t>
      </w:r>
      <w:r w:rsidR="001178E4">
        <w:t>y</w:t>
      </w:r>
      <w:r w:rsidR="00CA0CA8">
        <w:t>, and Macquarie Law School</w:t>
      </w:r>
      <w:r w:rsidR="007C191F">
        <w:t>.</w:t>
      </w:r>
      <w:r w:rsidR="006310D3" w:rsidRPr="00CA0CA8">
        <w:t xml:space="preserve"> The 2014</w:t>
      </w:r>
      <w:r w:rsidRPr="00CA0CA8">
        <w:t xml:space="preserve"> review of the Faculty of </w:t>
      </w:r>
      <w:r w:rsidR="006310D3" w:rsidRPr="00CA0CA8">
        <w:t>Arts</w:t>
      </w:r>
      <w:r w:rsidRPr="00CA0CA8">
        <w:t xml:space="preserve"> provides an opportunity to examine the </w:t>
      </w:r>
      <w:r w:rsidR="00235B63">
        <w:t xml:space="preserve">effectiveness of the academic restructure, </w:t>
      </w:r>
      <w:r w:rsidRPr="00CA0CA8">
        <w:t>and the future directions of the Faculty.</w:t>
      </w:r>
      <w:r w:rsidRPr="00CA0CA8">
        <w:rPr>
          <w:rFonts w:eastAsia="Calibri"/>
        </w:rPr>
        <w:t xml:space="preserve"> </w:t>
      </w:r>
    </w:p>
    <w:p w:rsidR="00373DB7" w:rsidRDefault="00373DB7" w:rsidP="002562BF">
      <w:pPr>
        <w:jc w:val="both"/>
      </w:pPr>
    </w:p>
    <w:p w:rsidR="005142B4" w:rsidRDefault="008F60FC" w:rsidP="002562BF">
      <w:pPr>
        <w:pStyle w:val="Heading2"/>
        <w:jc w:val="both"/>
      </w:pPr>
      <w:r>
        <w:t>Terms of Reference – 2014</w:t>
      </w:r>
      <w:r w:rsidR="00235B63">
        <w:t xml:space="preserve"> </w:t>
      </w:r>
      <w:r w:rsidR="005142B4">
        <w:t>External Review</w:t>
      </w:r>
    </w:p>
    <w:p w:rsidR="005142B4" w:rsidRPr="00292B17" w:rsidRDefault="005E0938" w:rsidP="002562BF">
      <w:pPr>
        <w:jc w:val="both"/>
        <w:rPr>
          <w:b/>
        </w:rPr>
      </w:pPr>
      <w:r w:rsidRPr="00292B17">
        <w:rPr>
          <w:b/>
        </w:rPr>
        <w:t>What we do</w:t>
      </w:r>
    </w:p>
    <w:p w:rsidR="005E0938" w:rsidRDefault="005E0938" w:rsidP="002562BF">
      <w:pPr>
        <w:numPr>
          <w:ilvl w:val="0"/>
          <w:numId w:val="4"/>
        </w:numPr>
        <w:jc w:val="both"/>
      </w:pPr>
      <w:r>
        <w:t>Academic Program</w:t>
      </w:r>
    </w:p>
    <w:p w:rsidR="005E0938" w:rsidRDefault="005E0938" w:rsidP="002562BF">
      <w:pPr>
        <w:ind w:left="720"/>
        <w:jc w:val="both"/>
      </w:pPr>
      <w:r>
        <w:t>Review the appropriateness of the degree</w:t>
      </w:r>
      <w:r w:rsidR="003A73D4">
        <w:t xml:space="preserve">s, programs, units and modes of </w:t>
      </w:r>
      <w:r>
        <w:t xml:space="preserve">study offered by Faculty of Arts relative to </w:t>
      </w:r>
      <w:r w:rsidRPr="00235B63">
        <w:t xml:space="preserve">University priorities, </w:t>
      </w:r>
      <w:r w:rsidR="0030645C">
        <w:t xml:space="preserve">and </w:t>
      </w:r>
      <w:r w:rsidRPr="00235B63">
        <w:t>employer and professional community demands.</w:t>
      </w:r>
      <w:r>
        <w:t xml:space="preserve"> </w:t>
      </w:r>
    </w:p>
    <w:p w:rsidR="005E0938" w:rsidRPr="00652B39" w:rsidRDefault="005E0938" w:rsidP="002562BF">
      <w:pPr>
        <w:ind w:left="720"/>
        <w:jc w:val="both"/>
      </w:pPr>
    </w:p>
    <w:p w:rsidR="005E0938" w:rsidRDefault="005E0938" w:rsidP="002562BF">
      <w:pPr>
        <w:numPr>
          <w:ilvl w:val="0"/>
          <w:numId w:val="4"/>
        </w:numPr>
        <w:jc w:val="both"/>
      </w:pPr>
      <w:r>
        <w:t>Research</w:t>
      </w:r>
    </w:p>
    <w:p w:rsidR="0030645C" w:rsidRDefault="005E0938" w:rsidP="0030645C">
      <w:pPr>
        <w:ind w:left="720"/>
        <w:jc w:val="both"/>
      </w:pPr>
      <w:r>
        <w:t>Review current research outputs, activity, and capability relative to University objectives including opportunities for developing research and knowledge leadership.</w:t>
      </w:r>
      <w:r w:rsidR="0030645C">
        <w:t xml:space="preserve"> </w:t>
      </w:r>
    </w:p>
    <w:p w:rsidR="00525B58" w:rsidRDefault="00525B58" w:rsidP="0030645C">
      <w:pPr>
        <w:ind w:left="720"/>
        <w:jc w:val="both"/>
      </w:pPr>
    </w:p>
    <w:p w:rsidR="00525B58" w:rsidRDefault="00525B58" w:rsidP="0030645C">
      <w:pPr>
        <w:ind w:left="720"/>
        <w:jc w:val="both"/>
      </w:pPr>
    </w:p>
    <w:p w:rsidR="005E0938" w:rsidRDefault="005E0938" w:rsidP="002562BF">
      <w:pPr>
        <w:ind w:left="720"/>
        <w:jc w:val="both"/>
      </w:pPr>
    </w:p>
    <w:p w:rsidR="005E0938" w:rsidRDefault="005E0938" w:rsidP="002562BF">
      <w:pPr>
        <w:numPr>
          <w:ilvl w:val="0"/>
          <w:numId w:val="4"/>
        </w:numPr>
        <w:jc w:val="both"/>
      </w:pPr>
      <w:r>
        <w:t>Community Engagement</w:t>
      </w:r>
    </w:p>
    <w:p w:rsidR="005E0938" w:rsidRDefault="005E0938" w:rsidP="002562BF">
      <w:pPr>
        <w:ind w:left="720"/>
        <w:jc w:val="both"/>
      </w:pPr>
      <w:r>
        <w:t xml:space="preserve">Review the scope, and quality of community/industry engagement, including external/professional benchmarking of curriculum and research. </w:t>
      </w:r>
    </w:p>
    <w:p w:rsidR="005E0938" w:rsidRDefault="005E0938" w:rsidP="002562BF">
      <w:pPr>
        <w:ind w:left="720"/>
        <w:jc w:val="both"/>
      </w:pPr>
    </w:p>
    <w:p w:rsidR="005E0938" w:rsidRDefault="005E0938" w:rsidP="002562BF">
      <w:pPr>
        <w:numPr>
          <w:ilvl w:val="0"/>
          <w:numId w:val="4"/>
        </w:numPr>
        <w:jc w:val="both"/>
      </w:pPr>
      <w:r>
        <w:t>International</w:t>
      </w:r>
    </w:p>
    <w:p w:rsidR="005E0938" w:rsidRDefault="005E0938" w:rsidP="002562BF">
      <w:pPr>
        <w:ind w:left="720"/>
        <w:jc w:val="both"/>
      </w:pPr>
      <w:r>
        <w:t>Review the Faculty's strategic direction in international engagement and its alignment with University strategic priorities.</w:t>
      </w:r>
    </w:p>
    <w:p w:rsidR="005E0938" w:rsidRDefault="005E0938" w:rsidP="002562BF">
      <w:pPr>
        <w:jc w:val="both"/>
      </w:pPr>
    </w:p>
    <w:p w:rsidR="005E0938" w:rsidRPr="00292B17" w:rsidRDefault="005E0938" w:rsidP="002562BF">
      <w:pPr>
        <w:jc w:val="both"/>
        <w:rPr>
          <w:b/>
        </w:rPr>
      </w:pPr>
      <w:r w:rsidRPr="00292B17">
        <w:rPr>
          <w:b/>
        </w:rPr>
        <w:t>How we do it</w:t>
      </w:r>
    </w:p>
    <w:p w:rsidR="005E0938" w:rsidRDefault="005E0938" w:rsidP="00525B58">
      <w:pPr>
        <w:numPr>
          <w:ilvl w:val="0"/>
          <w:numId w:val="4"/>
        </w:numPr>
        <w:jc w:val="both"/>
      </w:pPr>
      <w:r>
        <w:t xml:space="preserve">Governance, Leadership and Management </w:t>
      </w:r>
    </w:p>
    <w:p w:rsidR="009743B7" w:rsidRDefault="005E0938" w:rsidP="002562BF">
      <w:pPr>
        <w:ind w:left="720"/>
        <w:jc w:val="both"/>
      </w:pPr>
      <w:r>
        <w:t>Review the effectiveness of Faculty of Arts planning</w:t>
      </w:r>
      <w:r w:rsidRPr="00235B63">
        <w:t>, leadership and management structure, processes and resources in supporting and responding to Faculty and University strategic planning directions.</w:t>
      </w:r>
    </w:p>
    <w:p w:rsidR="00EB7019" w:rsidRDefault="00EB7019" w:rsidP="002562BF">
      <w:pPr>
        <w:ind w:left="720"/>
        <w:jc w:val="both"/>
      </w:pPr>
    </w:p>
    <w:p w:rsidR="005E0938" w:rsidRDefault="005E0938" w:rsidP="00525B58">
      <w:pPr>
        <w:numPr>
          <w:ilvl w:val="0"/>
          <w:numId w:val="4"/>
        </w:numPr>
        <w:jc w:val="both"/>
      </w:pPr>
      <w:r>
        <w:t>Research Training</w:t>
      </w:r>
    </w:p>
    <w:p w:rsidR="005E0938" w:rsidRDefault="005E0938" w:rsidP="002562BF">
      <w:pPr>
        <w:ind w:left="720"/>
        <w:jc w:val="both"/>
      </w:pPr>
      <w:r>
        <w:t xml:space="preserve">Review the HDR program, including admission standards, methodology and skills training, completion times and drop-out rates, supervision and reporting standards. </w:t>
      </w:r>
    </w:p>
    <w:p w:rsidR="005E0938" w:rsidRDefault="005E0938" w:rsidP="002562BF">
      <w:pPr>
        <w:ind w:left="720"/>
        <w:jc w:val="both"/>
      </w:pPr>
    </w:p>
    <w:p w:rsidR="005E0938" w:rsidRPr="00235B63" w:rsidRDefault="005E0938" w:rsidP="00525B58">
      <w:pPr>
        <w:numPr>
          <w:ilvl w:val="0"/>
          <w:numId w:val="4"/>
        </w:numPr>
        <w:jc w:val="both"/>
      </w:pPr>
      <w:r w:rsidRPr="00235B63">
        <w:t>Accreditations</w:t>
      </w:r>
    </w:p>
    <w:p w:rsidR="005E0938" w:rsidRDefault="005E0938" w:rsidP="002562BF">
      <w:pPr>
        <w:ind w:left="720"/>
        <w:jc w:val="both"/>
      </w:pPr>
      <w:r w:rsidRPr="00235B63">
        <w:t xml:space="preserve">Review the current accreditations associated with the Macquarie Law School and the ability of the Faculty to meet current and future government and professional accreditations. </w:t>
      </w:r>
    </w:p>
    <w:p w:rsidR="005E0938" w:rsidRDefault="005E0938" w:rsidP="002562BF">
      <w:pPr>
        <w:ind w:left="720"/>
        <w:jc w:val="both"/>
      </w:pPr>
    </w:p>
    <w:p w:rsidR="005E0938" w:rsidRDefault="005E0938" w:rsidP="00525B58">
      <w:pPr>
        <w:numPr>
          <w:ilvl w:val="0"/>
          <w:numId w:val="4"/>
        </w:numPr>
        <w:jc w:val="both"/>
      </w:pPr>
      <w:r>
        <w:t>Indigenous engagement</w:t>
      </w:r>
    </w:p>
    <w:p w:rsidR="005E0938" w:rsidRDefault="005E0938" w:rsidP="002562BF">
      <w:pPr>
        <w:ind w:left="720"/>
        <w:jc w:val="both"/>
      </w:pPr>
      <w:r>
        <w:t xml:space="preserve">Review the engagement of the Faculty with the University’s Indigenous strategy and with other Indigenous agencies.  </w:t>
      </w:r>
    </w:p>
    <w:p w:rsidR="005E0938" w:rsidRDefault="005E0938" w:rsidP="002562BF">
      <w:pPr>
        <w:ind w:left="720"/>
        <w:jc w:val="both"/>
      </w:pPr>
    </w:p>
    <w:p w:rsidR="005E0938" w:rsidRDefault="005E0938" w:rsidP="002562BF">
      <w:pPr>
        <w:jc w:val="both"/>
      </w:pPr>
    </w:p>
    <w:p w:rsidR="005E0938" w:rsidRPr="00292B17" w:rsidRDefault="005E0938" w:rsidP="002562BF">
      <w:pPr>
        <w:jc w:val="both"/>
        <w:rPr>
          <w:b/>
        </w:rPr>
      </w:pPr>
      <w:r w:rsidRPr="00292B17">
        <w:rPr>
          <w:b/>
        </w:rPr>
        <w:t>How we support it</w:t>
      </w:r>
    </w:p>
    <w:p w:rsidR="005E0938" w:rsidRPr="00235B63" w:rsidRDefault="005E0938" w:rsidP="00525B58">
      <w:pPr>
        <w:numPr>
          <w:ilvl w:val="0"/>
          <w:numId w:val="4"/>
        </w:numPr>
        <w:jc w:val="both"/>
      </w:pPr>
      <w:r w:rsidRPr="00235B63">
        <w:t>Structure</w:t>
      </w:r>
    </w:p>
    <w:p w:rsidR="005E0938" w:rsidRDefault="005E0938" w:rsidP="002562BF">
      <w:pPr>
        <w:ind w:left="720"/>
        <w:jc w:val="both"/>
      </w:pPr>
      <w:r w:rsidRPr="00235B63">
        <w:t xml:space="preserve">Review the organisational structure of the Faculty and consider its appropriateness to the future development of the Faculty and the wider University. </w:t>
      </w:r>
    </w:p>
    <w:p w:rsidR="005E0938" w:rsidRDefault="005E0938" w:rsidP="002562BF">
      <w:pPr>
        <w:ind w:left="720"/>
        <w:jc w:val="both"/>
      </w:pPr>
    </w:p>
    <w:p w:rsidR="005E0938" w:rsidRPr="00235B63" w:rsidRDefault="005E0938" w:rsidP="00525B58">
      <w:pPr>
        <w:numPr>
          <w:ilvl w:val="0"/>
          <w:numId w:val="4"/>
        </w:numPr>
        <w:jc w:val="both"/>
      </w:pPr>
      <w:r w:rsidRPr="00235B63">
        <w:t>Finance and Facilities</w:t>
      </w:r>
    </w:p>
    <w:p w:rsidR="005E0938" w:rsidRDefault="005E0938" w:rsidP="002562BF">
      <w:pPr>
        <w:ind w:left="720"/>
        <w:jc w:val="both"/>
      </w:pPr>
      <w:r w:rsidRPr="00235B63">
        <w:t xml:space="preserve">Review the impact of the current Faculty Funding Model and the funding distribution to </w:t>
      </w:r>
      <w:r w:rsidR="002562BF">
        <w:t>Departments within the Faculty.</w:t>
      </w:r>
      <w:r>
        <w:t xml:space="preserve">  </w:t>
      </w:r>
      <w:r w:rsidRPr="00235B63">
        <w:t xml:space="preserve">Review the adequacy of facilities for current needs and future growth in achieving Faculty and University strategy in teaching, research and HDR. </w:t>
      </w:r>
    </w:p>
    <w:p w:rsidR="005E0938" w:rsidRPr="00235B63" w:rsidRDefault="005E0938" w:rsidP="002562BF">
      <w:pPr>
        <w:ind w:left="720"/>
        <w:jc w:val="both"/>
      </w:pPr>
    </w:p>
    <w:p w:rsidR="005E0938" w:rsidRDefault="005E0938" w:rsidP="00525B58">
      <w:pPr>
        <w:numPr>
          <w:ilvl w:val="0"/>
          <w:numId w:val="4"/>
        </w:numPr>
        <w:jc w:val="both"/>
      </w:pPr>
      <w:r>
        <w:t>Staff and Student Profile</w:t>
      </w:r>
    </w:p>
    <w:p w:rsidR="005E0938" w:rsidRDefault="005E0938" w:rsidP="002562BF">
      <w:pPr>
        <w:ind w:left="720"/>
        <w:jc w:val="both"/>
        <w:rPr>
          <w:highlight w:val="yellow"/>
        </w:rPr>
      </w:pPr>
      <w:r>
        <w:t xml:space="preserve">Review the academic, professional, and student profile of the Faculty.  </w:t>
      </w:r>
    </w:p>
    <w:p w:rsidR="005E0938" w:rsidRDefault="005E0938" w:rsidP="002562BF">
      <w:pPr>
        <w:jc w:val="both"/>
      </w:pPr>
    </w:p>
    <w:p w:rsidR="00B8516C" w:rsidRPr="0038667C" w:rsidRDefault="0038667C" w:rsidP="0038667C">
      <w:pPr>
        <w:jc w:val="both"/>
        <w:rPr>
          <w:b/>
        </w:rPr>
      </w:pPr>
      <w:r w:rsidRPr="0038667C">
        <w:rPr>
          <w:b/>
        </w:rPr>
        <w:t>How we improve it</w:t>
      </w:r>
    </w:p>
    <w:p w:rsidR="00550DFA" w:rsidRDefault="00550DFA" w:rsidP="00525B58">
      <w:pPr>
        <w:numPr>
          <w:ilvl w:val="0"/>
          <w:numId w:val="4"/>
        </w:numPr>
        <w:jc w:val="both"/>
      </w:pPr>
      <w:r>
        <w:t>Future Directions</w:t>
      </w:r>
    </w:p>
    <w:p w:rsidR="00E92C5A" w:rsidRDefault="008D17AA" w:rsidP="00550DFA">
      <w:pPr>
        <w:ind w:left="360" w:firstLine="360"/>
        <w:jc w:val="both"/>
      </w:pPr>
      <w:r>
        <w:t>Review t</w:t>
      </w:r>
      <w:r w:rsidR="0038667C" w:rsidRPr="0038667C">
        <w:t>he appropriateness of our deliberative structures for enhancement</w:t>
      </w:r>
      <w:r w:rsidR="00735ACD">
        <w:t>.</w:t>
      </w:r>
    </w:p>
    <w:p w:rsidR="000E35E7" w:rsidRPr="000E35E7" w:rsidRDefault="000E35E7" w:rsidP="002562BF">
      <w:pPr>
        <w:ind w:left="720"/>
        <w:jc w:val="both"/>
        <w:rPr>
          <w:highlight w:val="yellow"/>
        </w:rPr>
      </w:pPr>
    </w:p>
    <w:p w:rsidR="000E6A7F" w:rsidRDefault="000E6A7F" w:rsidP="002562BF">
      <w:pPr>
        <w:jc w:val="both"/>
      </w:pPr>
    </w:p>
    <w:sectPr w:rsidR="000E6A7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65D" w:rsidRDefault="0066265D" w:rsidP="008F60FC">
      <w:r>
        <w:separator/>
      </w:r>
    </w:p>
  </w:endnote>
  <w:endnote w:type="continuationSeparator" w:id="0">
    <w:p w:rsidR="0066265D" w:rsidRDefault="0066265D" w:rsidP="008F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65D" w:rsidRDefault="0066265D" w:rsidP="008F60FC">
      <w:r>
        <w:separator/>
      </w:r>
    </w:p>
  </w:footnote>
  <w:footnote w:type="continuationSeparator" w:id="0">
    <w:p w:rsidR="0066265D" w:rsidRDefault="0066265D" w:rsidP="008F6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21F"/>
    <w:multiLevelType w:val="hybridMultilevel"/>
    <w:tmpl w:val="3B30099A"/>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CD73779"/>
    <w:multiLevelType w:val="hybridMultilevel"/>
    <w:tmpl w:val="3B30099A"/>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87E54F2"/>
    <w:multiLevelType w:val="hybridMultilevel"/>
    <w:tmpl w:val="15C20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91FD6"/>
    <w:multiLevelType w:val="hybridMultilevel"/>
    <w:tmpl w:val="0252713A"/>
    <w:lvl w:ilvl="0" w:tplc="1BFC0C7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4514F6"/>
    <w:multiLevelType w:val="hybridMultilevel"/>
    <w:tmpl w:val="C8AA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64291E"/>
    <w:multiLevelType w:val="hybridMultilevel"/>
    <w:tmpl w:val="3B30099A"/>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7C8E1F00"/>
    <w:multiLevelType w:val="hybridMultilevel"/>
    <w:tmpl w:val="481226C0"/>
    <w:lvl w:ilvl="0" w:tplc="1BFC0C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B4"/>
    <w:rsid w:val="00040807"/>
    <w:rsid w:val="00045858"/>
    <w:rsid w:val="0009072D"/>
    <w:rsid w:val="00094C09"/>
    <w:rsid w:val="000E35E7"/>
    <w:rsid w:val="000E537A"/>
    <w:rsid w:val="000E6A7F"/>
    <w:rsid w:val="00102AE5"/>
    <w:rsid w:val="001178E4"/>
    <w:rsid w:val="00235B63"/>
    <w:rsid w:val="002562BF"/>
    <w:rsid w:val="00292B17"/>
    <w:rsid w:val="002A4923"/>
    <w:rsid w:val="002F1F29"/>
    <w:rsid w:val="0030645C"/>
    <w:rsid w:val="00373DB7"/>
    <w:rsid w:val="0038667C"/>
    <w:rsid w:val="00391E2C"/>
    <w:rsid w:val="003A73D4"/>
    <w:rsid w:val="003C0F5E"/>
    <w:rsid w:val="003E7775"/>
    <w:rsid w:val="0046775E"/>
    <w:rsid w:val="0047750D"/>
    <w:rsid w:val="004C7AB1"/>
    <w:rsid w:val="004F5B58"/>
    <w:rsid w:val="005142B4"/>
    <w:rsid w:val="00525B58"/>
    <w:rsid w:val="00550DFA"/>
    <w:rsid w:val="005E0938"/>
    <w:rsid w:val="00630418"/>
    <w:rsid w:val="006310D3"/>
    <w:rsid w:val="00652B39"/>
    <w:rsid w:val="00652BD1"/>
    <w:rsid w:val="00653CA8"/>
    <w:rsid w:val="0066265D"/>
    <w:rsid w:val="00681715"/>
    <w:rsid w:val="006B2265"/>
    <w:rsid w:val="006C6855"/>
    <w:rsid w:val="0071743F"/>
    <w:rsid w:val="0072232A"/>
    <w:rsid w:val="00735ACD"/>
    <w:rsid w:val="00744A23"/>
    <w:rsid w:val="00792132"/>
    <w:rsid w:val="007C191F"/>
    <w:rsid w:val="007D046B"/>
    <w:rsid w:val="008927F2"/>
    <w:rsid w:val="008B1458"/>
    <w:rsid w:val="008D17AA"/>
    <w:rsid w:val="008F60FC"/>
    <w:rsid w:val="009616BD"/>
    <w:rsid w:val="00970261"/>
    <w:rsid w:val="009743B7"/>
    <w:rsid w:val="00990A4A"/>
    <w:rsid w:val="00997460"/>
    <w:rsid w:val="00A04945"/>
    <w:rsid w:val="00A743F2"/>
    <w:rsid w:val="00A964F0"/>
    <w:rsid w:val="00AE3E3D"/>
    <w:rsid w:val="00B53F1B"/>
    <w:rsid w:val="00B657DA"/>
    <w:rsid w:val="00B73EA8"/>
    <w:rsid w:val="00B8516C"/>
    <w:rsid w:val="00B8781F"/>
    <w:rsid w:val="00BA65D4"/>
    <w:rsid w:val="00C3304B"/>
    <w:rsid w:val="00CA0CA8"/>
    <w:rsid w:val="00CE1EA0"/>
    <w:rsid w:val="00D6731F"/>
    <w:rsid w:val="00DF0D6E"/>
    <w:rsid w:val="00E06CBA"/>
    <w:rsid w:val="00E91C12"/>
    <w:rsid w:val="00E92C5A"/>
    <w:rsid w:val="00EB07BA"/>
    <w:rsid w:val="00EB7019"/>
    <w:rsid w:val="00ED5F15"/>
    <w:rsid w:val="00F11449"/>
    <w:rsid w:val="00F26956"/>
    <w:rsid w:val="00FC2B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142B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42B4"/>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14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F60FC"/>
    <w:pPr>
      <w:tabs>
        <w:tab w:val="center" w:pos="4680"/>
        <w:tab w:val="right" w:pos="9360"/>
      </w:tabs>
    </w:pPr>
  </w:style>
  <w:style w:type="character" w:customStyle="1" w:styleId="HeaderChar">
    <w:name w:val="Header Char"/>
    <w:link w:val="Header"/>
    <w:rsid w:val="008F60FC"/>
    <w:rPr>
      <w:sz w:val="24"/>
      <w:szCs w:val="24"/>
      <w:lang w:val="en-AU" w:eastAsia="en-AU"/>
    </w:rPr>
  </w:style>
  <w:style w:type="paragraph" w:styleId="Footer">
    <w:name w:val="footer"/>
    <w:basedOn w:val="Normal"/>
    <w:link w:val="FooterChar"/>
    <w:rsid w:val="008F60FC"/>
    <w:pPr>
      <w:tabs>
        <w:tab w:val="center" w:pos="4680"/>
        <w:tab w:val="right" w:pos="9360"/>
      </w:tabs>
    </w:pPr>
  </w:style>
  <w:style w:type="character" w:customStyle="1" w:styleId="FooterChar">
    <w:name w:val="Footer Char"/>
    <w:link w:val="Footer"/>
    <w:rsid w:val="008F60FC"/>
    <w:rPr>
      <w:sz w:val="24"/>
      <w:szCs w:val="24"/>
      <w:lang w:val="en-AU" w:eastAsia="en-AU"/>
    </w:rPr>
  </w:style>
  <w:style w:type="paragraph" w:styleId="ListParagraph">
    <w:name w:val="List Paragraph"/>
    <w:basedOn w:val="Normal"/>
    <w:link w:val="ListParagraphChar"/>
    <w:uiPriority w:val="34"/>
    <w:qFormat/>
    <w:rsid w:val="00630418"/>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rsid w:val="00630418"/>
    <w:rPr>
      <w:rFonts w:ascii="Calibri" w:hAnsi="Calibri"/>
      <w:sz w:val="22"/>
      <w:szCs w:val="22"/>
      <w:lang w:val="en-AU" w:eastAsia="en-AU"/>
    </w:rPr>
  </w:style>
  <w:style w:type="paragraph" w:styleId="BalloonText">
    <w:name w:val="Balloon Text"/>
    <w:basedOn w:val="Normal"/>
    <w:link w:val="BalloonTextChar"/>
    <w:rsid w:val="00525B58"/>
    <w:rPr>
      <w:rFonts w:ascii="Tahoma" w:hAnsi="Tahoma" w:cs="Tahoma"/>
      <w:sz w:val="16"/>
      <w:szCs w:val="16"/>
    </w:rPr>
  </w:style>
  <w:style w:type="character" w:customStyle="1" w:styleId="BalloonTextChar">
    <w:name w:val="Balloon Text Char"/>
    <w:link w:val="BalloonText"/>
    <w:rsid w:val="00525B58"/>
    <w:rPr>
      <w:rFonts w:ascii="Tahoma" w:hAnsi="Tahoma" w:cs="Tahoma"/>
      <w:sz w:val="16"/>
      <w:szCs w:val="16"/>
      <w:lang w:val="en-AU" w:eastAsia="en-AU"/>
    </w:rPr>
  </w:style>
  <w:style w:type="character" w:styleId="CommentReference">
    <w:name w:val="annotation reference"/>
    <w:rsid w:val="004F5B58"/>
    <w:rPr>
      <w:sz w:val="16"/>
      <w:szCs w:val="16"/>
    </w:rPr>
  </w:style>
  <w:style w:type="paragraph" w:styleId="CommentText">
    <w:name w:val="annotation text"/>
    <w:basedOn w:val="Normal"/>
    <w:link w:val="CommentTextChar"/>
    <w:rsid w:val="004F5B58"/>
    <w:rPr>
      <w:sz w:val="20"/>
      <w:szCs w:val="20"/>
    </w:rPr>
  </w:style>
  <w:style w:type="character" w:customStyle="1" w:styleId="CommentTextChar">
    <w:name w:val="Comment Text Char"/>
    <w:link w:val="CommentText"/>
    <w:rsid w:val="004F5B58"/>
    <w:rPr>
      <w:lang w:val="en-AU" w:eastAsia="en-AU"/>
    </w:rPr>
  </w:style>
  <w:style w:type="paragraph" w:styleId="CommentSubject">
    <w:name w:val="annotation subject"/>
    <w:basedOn w:val="CommentText"/>
    <w:next w:val="CommentText"/>
    <w:link w:val="CommentSubjectChar"/>
    <w:rsid w:val="004F5B58"/>
    <w:rPr>
      <w:b/>
      <w:bCs/>
    </w:rPr>
  </w:style>
  <w:style w:type="character" w:customStyle="1" w:styleId="CommentSubjectChar">
    <w:name w:val="Comment Subject Char"/>
    <w:link w:val="CommentSubject"/>
    <w:rsid w:val="004F5B58"/>
    <w:rPr>
      <w:b/>
      <w:bCs/>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142B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42B4"/>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14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F60FC"/>
    <w:pPr>
      <w:tabs>
        <w:tab w:val="center" w:pos="4680"/>
        <w:tab w:val="right" w:pos="9360"/>
      </w:tabs>
    </w:pPr>
  </w:style>
  <w:style w:type="character" w:customStyle="1" w:styleId="HeaderChar">
    <w:name w:val="Header Char"/>
    <w:link w:val="Header"/>
    <w:rsid w:val="008F60FC"/>
    <w:rPr>
      <w:sz w:val="24"/>
      <w:szCs w:val="24"/>
      <w:lang w:val="en-AU" w:eastAsia="en-AU"/>
    </w:rPr>
  </w:style>
  <w:style w:type="paragraph" w:styleId="Footer">
    <w:name w:val="footer"/>
    <w:basedOn w:val="Normal"/>
    <w:link w:val="FooterChar"/>
    <w:rsid w:val="008F60FC"/>
    <w:pPr>
      <w:tabs>
        <w:tab w:val="center" w:pos="4680"/>
        <w:tab w:val="right" w:pos="9360"/>
      </w:tabs>
    </w:pPr>
  </w:style>
  <w:style w:type="character" w:customStyle="1" w:styleId="FooterChar">
    <w:name w:val="Footer Char"/>
    <w:link w:val="Footer"/>
    <w:rsid w:val="008F60FC"/>
    <w:rPr>
      <w:sz w:val="24"/>
      <w:szCs w:val="24"/>
      <w:lang w:val="en-AU" w:eastAsia="en-AU"/>
    </w:rPr>
  </w:style>
  <w:style w:type="paragraph" w:styleId="ListParagraph">
    <w:name w:val="List Paragraph"/>
    <w:basedOn w:val="Normal"/>
    <w:link w:val="ListParagraphChar"/>
    <w:uiPriority w:val="34"/>
    <w:qFormat/>
    <w:rsid w:val="00630418"/>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rsid w:val="00630418"/>
    <w:rPr>
      <w:rFonts w:ascii="Calibri" w:hAnsi="Calibri"/>
      <w:sz w:val="22"/>
      <w:szCs w:val="22"/>
      <w:lang w:val="en-AU" w:eastAsia="en-AU"/>
    </w:rPr>
  </w:style>
  <w:style w:type="paragraph" w:styleId="BalloonText">
    <w:name w:val="Balloon Text"/>
    <w:basedOn w:val="Normal"/>
    <w:link w:val="BalloonTextChar"/>
    <w:rsid w:val="00525B58"/>
    <w:rPr>
      <w:rFonts w:ascii="Tahoma" w:hAnsi="Tahoma" w:cs="Tahoma"/>
      <w:sz w:val="16"/>
      <w:szCs w:val="16"/>
    </w:rPr>
  </w:style>
  <w:style w:type="character" w:customStyle="1" w:styleId="BalloonTextChar">
    <w:name w:val="Balloon Text Char"/>
    <w:link w:val="BalloonText"/>
    <w:rsid w:val="00525B58"/>
    <w:rPr>
      <w:rFonts w:ascii="Tahoma" w:hAnsi="Tahoma" w:cs="Tahoma"/>
      <w:sz w:val="16"/>
      <w:szCs w:val="16"/>
      <w:lang w:val="en-AU" w:eastAsia="en-AU"/>
    </w:rPr>
  </w:style>
  <w:style w:type="character" w:styleId="CommentReference">
    <w:name w:val="annotation reference"/>
    <w:rsid w:val="004F5B58"/>
    <w:rPr>
      <w:sz w:val="16"/>
      <w:szCs w:val="16"/>
    </w:rPr>
  </w:style>
  <w:style w:type="paragraph" w:styleId="CommentText">
    <w:name w:val="annotation text"/>
    <w:basedOn w:val="Normal"/>
    <w:link w:val="CommentTextChar"/>
    <w:rsid w:val="004F5B58"/>
    <w:rPr>
      <w:sz w:val="20"/>
      <w:szCs w:val="20"/>
    </w:rPr>
  </w:style>
  <w:style w:type="character" w:customStyle="1" w:styleId="CommentTextChar">
    <w:name w:val="Comment Text Char"/>
    <w:link w:val="CommentText"/>
    <w:rsid w:val="004F5B58"/>
    <w:rPr>
      <w:lang w:val="en-AU" w:eastAsia="en-AU"/>
    </w:rPr>
  </w:style>
  <w:style w:type="paragraph" w:styleId="CommentSubject">
    <w:name w:val="annotation subject"/>
    <w:basedOn w:val="CommentText"/>
    <w:next w:val="CommentText"/>
    <w:link w:val="CommentSubjectChar"/>
    <w:rsid w:val="004F5B58"/>
    <w:rPr>
      <w:b/>
      <w:bCs/>
    </w:rPr>
  </w:style>
  <w:style w:type="character" w:customStyle="1" w:styleId="CommentSubjectChar">
    <w:name w:val="Comment Subject Char"/>
    <w:link w:val="CommentSubject"/>
    <w:rsid w:val="004F5B58"/>
    <w:rPr>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Macquarie University</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BMclean</dc:creator>
  <cp:lastModifiedBy>IT Support</cp:lastModifiedBy>
  <cp:revision>2</cp:revision>
  <cp:lastPrinted>2014-03-12T00:02:00Z</cp:lastPrinted>
  <dcterms:created xsi:type="dcterms:W3CDTF">2014-03-19T05:02:00Z</dcterms:created>
  <dcterms:modified xsi:type="dcterms:W3CDTF">2014-03-19T05:02:00Z</dcterms:modified>
</cp:coreProperties>
</file>