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3693E" w:rsidTr="002A485E">
        <w:tc>
          <w:tcPr>
            <w:tcW w:w="2628" w:type="dxa"/>
          </w:tcPr>
          <w:p w:rsidR="0063693E" w:rsidRDefault="005A0498">
            <w:bookmarkStart w:id="0" w:name="_GoBack"/>
            <w:bookmarkEnd w:id="0"/>
            <w:r>
              <w:rPr>
                <w:noProof/>
              </w:rPr>
              <w:drawing>
                <wp:inline distT="0" distB="0" distL="0" distR="0">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rsidR="0063693E" w:rsidRDefault="008479AC" w:rsidP="00223A3E">
            <w:pPr>
              <w:pStyle w:val="Heading1"/>
              <w:jc w:val="right"/>
            </w:pPr>
            <w:r>
              <w:t>Implementation Plan for</w:t>
            </w:r>
            <w:r w:rsidR="0063693E">
              <w:t xml:space="preserve"> Revi</w:t>
            </w:r>
            <w:r w:rsidR="00E82617">
              <w:t>ew of</w:t>
            </w:r>
            <w:r w:rsidR="003E6FE0">
              <w:t xml:space="preserve"> </w:t>
            </w:r>
            <w:r w:rsidR="00223A3E">
              <w:t>Faculty of Business and Economics</w:t>
            </w:r>
          </w:p>
        </w:tc>
      </w:tr>
    </w:tbl>
    <w:p w:rsidR="0063693E" w:rsidRDefault="0063693E" w:rsidP="0063693E">
      <w:pPr>
        <w:pStyle w:val="Heading2"/>
      </w:pPr>
      <w:r>
        <w:t>Implementation of Findings and Recommendations</w:t>
      </w:r>
    </w:p>
    <w:p w:rsidR="0063693E" w:rsidRDefault="0063693E" w:rsidP="0063693E">
      <w:pPr>
        <w:pStyle w:val="Heading3"/>
        <w:numPr>
          <w:ilvl w:val="0"/>
          <w:numId w:val="1"/>
        </w:numPr>
      </w:pPr>
      <w: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69"/>
        <w:gridCol w:w="1798"/>
        <w:gridCol w:w="8963"/>
      </w:tblGrid>
      <w:tr w:rsidR="009D23BE" w:rsidTr="00036130">
        <w:tc>
          <w:tcPr>
            <w:tcW w:w="628" w:type="dxa"/>
          </w:tcPr>
          <w:p w:rsidR="009D23BE" w:rsidRPr="00654044" w:rsidRDefault="009D23BE" w:rsidP="00654044">
            <w:pPr>
              <w:jc w:val="center"/>
              <w:rPr>
                <w:rFonts w:ascii="Verdana" w:hAnsi="Verdana"/>
                <w:b/>
                <w:sz w:val="20"/>
                <w:szCs w:val="20"/>
              </w:rPr>
            </w:pPr>
            <w:r w:rsidRPr="00654044">
              <w:rPr>
                <w:rFonts w:ascii="Verdana" w:hAnsi="Verdana"/>
                <w:b/>
                <w:sz w:val="20"/>
                <w:szCs w:val="20"/>
              </w:rPr>
              <w:t>Rec No.</w:t>
            </w:r>
          </w:p>
        </w:tc>
        <w:tc>
          <w:tcPr>
            <w:tcW w:w="2469" w:type="dxa"/>
          </w:tcPr>
          <w:p w:rsidR="009D23BE" w:rsidRPr="00654044" w:rsidRDefault="009D23BE" w:rsidP="00654044">
            <w:pPr>
              <w:jc w:val="center"/>
              <w:rPr>
                <w:rFonts w:ascii="Verdana" w:hAnsi="Verdana"/>
                <w:b/>
                <w:sz w:val="20"/>
                <w:szCs w:val="20"/>
              </w:rPr>
            </w:pPr>
            <w:r w:rsidRPr="00654044">
              <w:rPr>
                <w:rFonts w:ascii="Verdana" w:hAnsi="Verdana"/>
                <w:b/>
                <w:sz w:val="20"/>
                <w:szCs w:val="20"/>
              </w:rPr>
              <w:t>Recommendation</w:t>
            </w:r>
          </w:p>
        </w:tc>
        <w:tc>
          <w:tcPr>
            <w:tcW w:w="1798" w:type="dxa"/>
          </w:tcPr>
          <w:p w:rsidR="009D23BE" w:rsidRPr="00654044" w:rsidRDefault="009D23BE" w:rsidP="00654044">
            <w:pPr>
              <w:jc w:val="center"/>
              <w:rPr>
                <w:rFonts w:ascii="Verdana" w:hAnsi="Verdana"/>
                <w:b/>
                <w:sz w:val="20"/>
                <w:szCs w:val="20"/>
              </w:rPr>
            </w:pPr>
            <w:r w:rsidRPr="00654044">
              <w:rPr>
                <w:rFonts w:ascii="Verdana" w:hAnsi="Verdana"/>
                <w:b/>
                <w:sz w:val="20"/>
                <w:szCs w:val="20"/>
              </w:rPr>
              <w:t>Responsibility</w:t>
            </w:r>
          </w:p>
        </w:tc>
        <w:tc>
          <w:tcPr>
            <w:tcW w:w="8963" w:type="dxa"/>
          </w:tcPr>
          <w:p w:rsidR="009D23BE" w:rsidRPr="00654044" w:rsidRDefault="009D23BE" w:rsidP="00AE3DA6">
            <w:pPr>
              <w:jc w:val="center"/>
              <w:rPr>
                <w:rFonts w:ascii="Verdana" w:hAnsi="Verdana"/>
                <w:b/>
                <w:sz w:val="20"/>
                <w:szCs w:val="20"/>
              </w:rPr>
            </w:pPr>
            <w:r w:rsidRPr="00654044">
              <w:rPr>
                <w:rFonts w:ascii="Verdana" w:hAnsi="Verdana"/>
                <w:b/>
                <w:sz w:val="20"/>
                <w:szCs w:val="20"/>
              </w:rPr>
              <w:t>Response and Status</w:t>
            </w:r>
          </w:p>
        </w:tc>
      </w:tr>
      <w:tr w:rsidR="009D23BE" w:rsidTr="00036130">
        <w:tc>
          <w:tcPr>
            <w:tcW w:w="628" w:type="dxa"/>
          </w:tcPr>
          <w:p w:rsidR="009D23BE" w:rsidRPr="00A1612D" w:rsidRDefault="009D23BE" w:rsidP="0063693E">
            <w:pPr>
              <w:rPr>
                <w:rFonts w:asciiTheme="minorHAnsi" w:hAnsiTheme="minorHAnsi" w:cstheme="minorHAnsi"/>
                <w:sz w:val="22"/>
                <w:szCs w:val="22"/>
              </w:rPr>
            </w:pPr>
            <w:r w:rsidRPr="00A1612D">
              <w:rPr>
                <w:rFonts w:asciiTheme="minorHAnsi" w:hAnsiTheme="minorHAnsi" w:cstheme="minorHAnsi"/>
                <w:sz w:val="22"/>
                <w:szCs w:val="22"/>
              </w:rPr>
              <w:t>1</w:t>
            </w:r>
          </w:p>
        </w:tc>
        <w:tc>
          <w:tcPr>
            <w:tcW w:w="2469" w:type="dxa"/>
          </w:tcPr>
          <w:p w:rsidR="009D23BE" w:rsidRPr="00A1612D" w:rsidRDefault="009D23BE" w:rsidP="00223A3E">
            <w:pPr>
              <w:pStyle w:val="Default"/>
              <w:rPr>
                <w:rFonts w:asciiTheme="minorHAnsi" w:hAnsiTheme="minorHAnsi"/>
                <w:sz w:val="22"/>
                <w:szCs w:val="22"/>
              </w:rPr>
            </w:pPr>
            <w:r w:rsidRPr="00A1612D">
              <w:rPr>
                <w:rFonts w:asciiTheme="minorHAnsi" w:hAnsiTheme="minorHAnsi"/>
                <w:sz w:val="22"/>
                <w:szCs w:val="22"/>
              </w:rPr>
              <w:t xml:space="preserve">Review the responsibilities of the Faculty Board relating to the nature and scope of issues it reviews and reports on prior to referral to the Academic Senate. </w:t>
            </w:r>
          </w:p>
        </w:tc>
        <w:tc>
          <w:tcPr>
            <w:tcW w:w="1798" w:type="dxa"/>
          </w:tcPr>
          <w:p w:rsidR="009D23BE" w:rsidRPr="00A1612D" w:rsidRDefault="00CA30DE" w:rsidP="0063693E">
            <w:pPr>
              <w:rPr>
                <w:rFonts w:asciiTheme="minorHAnsi" w:hAnsiTheme="minorHAnsi" w:cstheme="minorHAnsi"/>
                <w:sz w:val="22"/>
                <w:szCs w:val="22"/>
              </w:rPr>
            </w:pPr>
            <w:r>
              <w:rPr>
                <w:rFonts w:asciiTheme="minorHAnsi" w:hAnsiTheme="minorHAnsi" w:cstheme="minorHAnsi"/>
                <w:sz w:val="22"/>
                <w:szCs w:val="22"/>
              </w:rPr>
              <w:t xml:space="preserve"> Executive </w:t>
            </w:r>
            <w:r w:rsidR="009D23BE">
              <w:rPr>
                <w:rFonts w:asciiTheme="minorHAnsi" w:hAnsiTheme="minorHAnsi" w:cstheme="minorHAnsi"/>
                <w:sz w:val="22"/>
                <w:szCs w:val="22"/>
              </w:rPr>
              <w:t>Dean</w:t>
            </w:r>
          </w:p>
        </w:tc>
        <w:tc>
          <w:tcPr>
            <w:tcW w:w="8963" w:type="dxa"/>
          </w:tcPr>
          <w:p w:rsidR="009D23BE" w:rsidRDefault="009D23BE" w:rsidP="0063693E">
            <w:pPr>
              <w:rPr>
                <w:rFonts w:asciiTheme="minorHAnsi" w:hAnsiTheme="minorHAnsi" w:cstheme="minorHAnsi"/>
                <w:sz w:val="22"/>
                <w:szCs w:val="22"/>
              </w:rPr>
            </w:pPr>
            <w:r>
              <w:rPr>
                <w:rFonts w:asciiTheme="minorHAnsi" w:hAnsiTheme="minorHAnsi" w:cstheme="minorHAnsi"/>
                <w:sz w:val="22"/>
                <w:szCs w:val="22"/>
              </w:rPr>
              <w:t xml:space="preserve">Reposition the Faculty Board as FBE’s principal decision-making body for academic matters in order to streamline the operations of committees and reduce the amount of time spent by staff on committee related activities. </w:t>
            </w:r>
          </w:p>
          <w:p w:rsidR="009D23BE" w:rsidRDefault="009D23BE" w:rsidP="0063693E">
            <w:pPr>
              <w:rPr>
                <w:rFonts w:asciiTheme="minorHAnsi" w:hAnsiTheme="minorHAnsi" w:cstheme="minorHAnsi"/>
                <w:sz w:val="22"/>
                <w:szCs w:val="22"/>
              </w:rPr>
            </w:pPr>
          </w:p>
          <w:p w:rsidR="009D23BE" w:rsidRDefault="009D23BE" w:rsidP="0063693E">
            <w:pPr>
              <w:rPr>
                <w:rFonts w:asciiTheme="minorHAnsi" w:hAnsiTheme="minorHAnsi" w:cstheme="minorHAnsi"/>
                <w:sz w:val="22"/>
                <w:szCs w:val="22"/>
              </w:rPr>
            </w:pPr>
            <w:r>
              <w:rPr>
                <w:rFonts w:asciiTheme="minorHAnsi" w:hAnsiTheme="minorHAnsi" w:cstheme="minorHAnsi"/>
                <w:sz w:val="22"/>
                <w:szCs w:val="22"/>
              </w:rPr>
              <w:t xml:space="preserve">Restructure the existing Faculty Committees—Learning and Teaching, Faculty Standards and Quality, Research and HDR—as subcommittees of the Faculty Board. </w:t>
            </w:r>
          </w:p>
          <w:p w:rsidR="009D23BE" w:rsidRDefault="009D23BE" w:rsidP="0063693E">
            <w:pPr>
              <w:rPr>
                <w:rFonts w:asciiTheme="minorHAnsi" w:hAnsiTheme="minorHAnsi" w:cstheme="minorHAnsi"/>
                <w:sz w:val="22"/>
                <w:szCs w:val="22"/>
              </w:rPr>
            </w:pPr>
          </w:p>
          <w:p w:rsidR="009D23BE" w:rsidRDefault="009D23BE" w:rsidP="0063693E">
            <w:pPr>
              <w:rPr>
                <w:rFonts w:asciiTheme="minorHAnsi" w:hAnsiTheme="minorHAnsi" w:cstheme="minorHAnsi"/>
                <w:sz w:val="22"/>
                <w:szCs w:val="22"/>
              </w:rPr>
            </w:pPr>
            <w:r>
              <w:rPr>
                <w:rFonts w:asciiTheme="minorHAnsi" w:hAnsiTheme="minorHAnsi" w:cstheme="minorHAnsi"/>
                <w:sz w:val="22"/>
                <w:szCs w:val="22"/>
              </w:rPr>
              <w:t>Review the membership of the Faculty Board</w:t>
            </w:r>
            <w:r w:rsidR="00CA30DE">
              <w:rPr>
                <w:rFonts w:asciiTheme="minorHAnsi" w:hAnsiTheme="minorHAnsi" w:cstheme="minorHAnsi"/>
                <w:sz w:val="22"/>
                <w:szCs w:val="22"/>
              </w:rPr>
              <w:t xml:space="preserve"> Terms of Reference</w:t>
            </w:r>
            <w:r>
              <w:rPr>
                <w:rFonts w:asciiTheme="minorHAnsi" w:hAnsiTheme="minorHAnsi" w:cstheme="minorHAnsi"/>
                <w:sz w:val="22"/>
                <w:szCs w:val="22"/>
              </w:rPr>
              <w:t xml:space="preserve"> and subcommittees.</w:t>
            </w:r>
          </w:p>
          <w:p w:rsidR="009D23BE" w:rsidRDefault="009D23BE" w:rsidP="0063693E">
            <w:pPr>
              <w:rPr>
                <w:rFonts w:asciiTheme="minorHAnsi" w:hAnsiTheme="minorHAnsi" w:cstheme="minorHAnsi"/>
                <w:sz w:val="22"/>
                <w:szCs w:val="22"/>
              </w:rPr>
            </w:pPr>
          </w:p>
          <w:p w:rsidR="009D23BE" w:rsidRDefault="009D23BE" w:rsidP="008806EB">
            <w:pPr>
              <w:rPr>
                <w:rFonts w:asciiTheme="minorHAnsi" w:hAnsiTheme="minorHAnsi" w:cstheme="minorHAnsi"/>
                <w:sz w:val="22"/>
                <w:szCs w:val="22"/>
              </w:rPr>
            </w:pPr>
            <w:r>
              <w:rPr>
                <w:rFonts w:asciiTheme="minorHAnsi" w:hAnsiTheme="minorHAnsi" w:cstheme="minorHAnsi"/>
                <w:sz w:val="22"/>
                <w:szCs w:val="22"/>
              </w:rPr>
              <w:t xml:space="preserve">Appoint a new Chair of the Faculty Board in place of the Executive Dean, with the </w:t>
            </w:r>
          </w:p>
          <w:p w:rsidR="009D23BE" w:rsidRPr="00A1612D" w:rsidRDefault="009D23BE" w:rsidP="008806EB">
            <w:pPr>
              <w:rPr>
                <w:rFonts w:asciiTheme="minorHAnsi" w:hAnsiTheme="minorHAnsi" w:cstheme="minorHAnsi"/>
                <w:sz w:val="22"/>
                <w:szCs w:val="22"/>
              </w:rPr>
            </w:pPr>
            <w:r>
              <w:rPr>
                <w:rFonts w:asciiTheme="minorHAnsi" w:hAnsiTheme="minorHAnsi" w:cstheme="minorHAnsi"/>
                <w:sz w:val="22"/>
                <w:szCs w:val="22"/>
              </w:rPr>
              <w:t xml:space="preserve">Executive Dean to report to the Board on the Faculty’s operational and strategic activities. </w:t>
            </w:r>
          </w:p>
        </w:tc>
      </w:tr>
      <w:tr w:rsidR="009D23BE" w:rsidTr="00036130">
        <w:tc>
          <w:tcPr>
            <w:tcW w:w="628" w:type="dxa"/>
          </w:tcPr>
          <w:p w:rsidR="009D23BE" w:rsidRPr="00A1612D" w:rsidRDefault="009D23BE" w:rsidP="0063693E">
            <w:pPr>
              <w:rPr>
                <w:rFonts w:asciiTheme="minorHAnsi" w:hAnsiTheme="minorHAnsi" w:cstheme="minorHAnsi"/>
                <w:sz w:val="22"/>
                <w:szCs w:val="22"/>
              </w:rPr>
            </w:pPr>
            <w:r w:rsidRPr="00A1612D">
              <w:rPr>
                <w:rFonts w:asciiTheme="minorHAnsi" w:hAnsiTheme="minorHAnsi" w:cstheme="minorHAnsi"/>
                <w:sz w:val="22"/>
                <w:szCs w:val="22"/>
              </w:rPr>
              <w:t>2</w:t>
            </w:r>
          </w:p>
        </w:tc>
        <w:tc>
          <w:tcPr>
            <w:tcW w:w="2469" w:type="dxa"/>
          </w:tcPr>
          <w:p w:rsidR="009D23BE" w:rsidRPr="00A1612D" w:rsidRDefault="009D23BE" w:rsidP="00A1612D">
            <w:pPr>
              <w:pStyle w:val="Default"/>
              <w:rPr>
                <w:rFonts w:asciiTheme="minorHAnsi" w:hAnsiTheme="minorHAnsi"/>
                <w:sz w:val="22"/>
                <w:szCs w:val="22"/>
              </w:rPr>
            </w:pPr>
            <w:r w:rsidRPr="00A1612D">
              <w:rPr>
                <w:rFonts w:asciiTheme="minorHAnsi" w:hAnsiTheme="minorHAnsi"/>
                <w:sz w:val="22"/>
                <w:szCs w:val="22"/>
              </w:rPr>
              <w:t xml:space="preserve">Review claims from staff regarding high levels of bureaucracy and lack of appropriate delegating of signoff responsibilities. </w:t>
            </w:r>
          </w:p>
        </w:tc>
        <w:tc>
          <w:tcPr>
            <w:tcW w:w="1798" w:type="dxa"/>
          </w:tcPr>
          <w:p w:rsidR="009D23BE" w:rsidRPr="00A1612D" w:rsidRDefault="009D23BE" w:rsidP="0063693E">
            <w:pPr>
              <w:rPr>
                <w:rFonts w:asciiTheme="minorHAnsi" w:hAnsiTheme="minorHAnsi" w:cstheme="minorHAnsi"/>
                <w:sz w:val="22"/>
                <w:szCs w:val="22"/>
              </w:rPr>
            </w:pPr>
            <w:r>
              <w:rPr>
                <w:rFonts w:asciiTheme="minorHAnsi" w:hAnsiTheme="minorHAnsi" w:cstheme="minorHAnsi"/>
                <w:sz w:val="22"/>
                <w:szCs w:val="22"/>
              </w:rPr>
              <w:t>AD, CQA</w:t>
            </w:r>
          </w:p>
        </w:tc>
        <w:tc>
          <w:tcPr>
            <w:tcW w:w="8963" w:type="dxa"/>
          </w:tcPr>
          <w:p w:rsidR="009D23BE" w:rsidRDefault="009D23BE" w:rsidP="00852DEA">
            <w:pPr>
              <w:rPr>
                <w:rFonts w:asciiTheme="minorHAnsi" w:hAnsiTheme="minorHAnsi" w:cstheme="minorHAnsi"/>
                <w:sz w:val="22"/>
                <w:szCs w:val="22"/>
              </w:rPr>
            </w:pPr>
            <w:r>
              <w:rPr>
                <w:rFonts w:asciiTheme="minorHAnsi" w:hAnsiTheme="minorHAnsi" w:cstheme="minorHAnsi"/>
                <w:sz w:val="22"/>
                <w:szCs w:val="22"/>
              </w:rPr>
              <w:t>Develop a staff feedback system to document overly complex administrative processes as part of a continuous improvement framework.</w:t>
            </w:r>
          </w:p>
          <w:p w:rsidR="009D23BE" w:rsidRDefault="009D23BE" w:rsidP="0055384F">
            <w:pPr>
              <w:rPr>
                <w:rFonts w:asciiTheme="minorHAnsi" w:hAnsiTheme="minorHAnsi" w:cstheme="minorHAnsi"/>
                <w:sz w:val="22"/>
                <w:szCs w:val="22"/>
              </w:rPr>
            </w:pPr>
          </w:p>
          <w:p w:rsidR="009D23BE" w:rsidRPr="00A1612D" w:rsidRDefault="009D23BE" w:rsidP="009D23BE">
            <w:pPr>
              <w:rPr>
                <w:rFonts w:asciiTheme="minorHAnsi" w:hAnsiTheme="minorHAnsi" w:cstheme="minorHAnsi"/>
                <w:sz w:val="22"/>
                <w:szCs w:val="22"/>
              </w:rPr>
            </w:pPr>
            <w:r>
              <w:rPr>
                <w:rFonts w:asciiTheme="minorHAnsi" w:hAnsiTheme="minorHAnsi" w:cstheme="minorHAnsi"/>
                <w:sz w:val="22"/>
                <w:szCs w:val="22"/>
              </w:rPr>
              <w:t>Note: The review of delegations taking place at the University level will assist in implementing the response to this recommendation.</w:t>
            </w:r>
          </w:p>
        </w:tc>
      </w:tr>
    </w:tbl>
    <w:p w:rsidR="00697EB6" w:rsidRDefault="00697EB6">
      <w:pPr>
        <w:rPr>
          <w:rFonts w:ascii="Arial" w:hAnsi="Arial" w:cs="Arial"/>
          <w:b/>
          <w:bCs/>
          <w:sz w:val="26"/>
          <w:szCs w:val="26"/>
        </w:rPr>
      </w:pPr>
    </w:p>
    <w:p w:rsidR="00036130" w:rsidRDefault="00036130">
      <w:pPr>
        <w:rPr>
          <w:rFonts w:ascii="Arial" w:hAnsi="Arial" w:cs="Arial"/>
          <w:b/>
          <w:bCs/>
          <w:sz w:val="26"/>
          <w:szCs w:val="26"/>
        </w:rPr>
      </w:pPr>
      <w:r>
        <w:br w:type="page"/>
      </w:r>
    </w:p>
    <w:p w:rsidR="0063693E" w:rsidRDefault="00A1612D" w:rsidP="0063693E">
      <w:pPr>
        <w:pStyle w:val="Heading3"/>
        <w:numPr>
          <w:ilvl w:val="0"/>
          <w:numId w:val="1"/>
        </w:numPr>
      </w:pPr>
      <w:r>
        <w:lastRenderedPageBreak/>
        <w:t>Structure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917"/>
        <w:gridCol w:w="1800"/>
        <w:gridCol w:w="8506"/>
      </w:tblGrid>
      <w:tr w:rsidR="009A6CBE" w:rsidTr="00036130">
        <w:tc>
          <w:tcPr>
            <w:tcW w:w="635" w:type="dxa"/>
          </w:tcPr>
          <w:p w:rsidR="009A6CBE" w:rsidRPr="00654044" w:rsidRDefault="009A6CBE" w:rsidP="00654044">
            <w:pPr>
              <w:jc w:val="center"/>
              <w:rPr>
                <w:rFonts w:ascii="Verdana" w:hAnsi="Verdana"/>
                <w:b/>
                <w:sz w:val="20"/>
                <w:szCs w:val="20"/>
              </w:rPr>
            </w:pPr>
            <w:r w:rsidRPr="00654044">
              <w:rPr>
                <w:rFonts w:ascii="Verdana" w:hAnsi="Verdana"/>
                <w:b/>
                <w:sz w:val="20"/>
                <w:szCs w:val="20"/>
              </w:rPr>
              <w:t>Rec No.</w:t>
            </w:r>
          </w:p>
        </w:tc>
        <w:tc>
          <w:tcPr>
            <w:tcW w:w="2917" w:type="dxa"/>
          </w:tcPr>
          <w:p w:rsidR="009A6CBE" w:rsidRPr="00654044" w:rsidRDefault="009A6CBE" w:rsidP="00654044">
            <w:pPr>
              <w:jc w:val="center"/>
              <w:rPr>
                <w:rFonts w:ascii="Verdana" w:hAnsi="Verdana"/>
                <w:b/>
                <w:sz w:val="20"/>
                <w:szCs w:val="20"/>
              </w:rPr>
            </w:pPr>
            <w:r w:rsidRPr="00654044">
              <w:rPr>
                <w:rFonts w:ascii="Verdana" w:hAnsi="Verdana"/>
                <w:b/>
                <w:sz w:val="20"/>
                <w:szCs w:val="20"/>
              </w:rPr>
              <w:t>Recommendation</w:t>
            </w:r>
          </w:p>
        </w:tc>
        <w:tc>
          <w:tcPr>
            <w:tcW w:w="1800" w:type="dxa"/>
          </w:tcPr>
          <w:p w:rsidR="009A6CBE" w:rsidRPr="00654044" w:rsidRDefault="009A6CBE" w:rsidP="00654044">
            <w:pPr>
              <w:jc w:val="center"/>
              <w:rPr>
                <w:rFonts w:ascii="Verdana" w:hAnsi="Verdana"/>
                <w:b/>
                <w:sz w:val="20"/>
                <w:szCs w:val="20"/>
              </w:rPr>
            </w:pPr>
            <w:r w:rsidRPr="00654044">
              <w:rPr>
                <w:rFonts w:ascii="Verdana" w:hAnsi="Verdana"/>
                <w:b/>
                <w:sz w:val="20"/>
                <w:szCs w:val="20"/>
              </w:rPr>
              <w:t>Responsibility</w:t>
            </w:r>
          </w:p>
        </w:tc>
        <w:tc>
          <w:tcPr>
            <w:tcW w:w="8506" w:type="dxa"/>
          </w:tcPr>
          <w:p w:rsidR="009A6CBE" w:rsidRPr="00654044" w:rsidRDefault="009A6CBE" w:rsidP="00654044">
            <w:pPr>
              <w:jc w:val="center"/>
              <w:rPr>
                <w:rFonts w:ascii="Verdana" w:hAnsi="Verdana"/>
                <w:b/>
                <w:sz w:val="20"/>
                <w:szCs w:val="20"/>
              </w:rPr>
            </w:pPr>
            <w:r w:rsidRPr="00654044">
              <w:rPr>
                <w:rFonts w:ascii="Verdana" w:hAnsi="Verdana"/>
                <w:b/>
                <w:sz w:val="20"/>
                <w:szCs w:val="20"/>
              </w:rPr>
              <w:t>Response and Status</w:t>
            </w:r>
          </w:p>
        </w:tc>
      </w:tr>
      <w:tr w:rsidR="009A6CBE" w:rsidTr="00036130">
        <w:tc>
          <w:tcPr>
            <w:tcW w:w="635" w:type="dxa"/>
          </w:tcPr>
          <w:p w:rsidR="009A6CBE" w:rsidRPr="00A1612D" w:rsidRDefault="009A6CBE" w:rsidP="00852EDB">
            <w:pPr>
              <w:rPr>
                <w:rFonts w:asciiTheme="minorHAnsi" w:hAnsiTheme="minorHAnsi" w:cstheme="minorHAnsi"/>
                <w:sz w:val="22"/>
                <w:szCs w:val="22"/>
              </w:rPr>
            </w:pPr>
            <w:r w:rsidRPr="00A1612D">
              <w:rPr>
                <w:rFonts w:asciiTheme="minorHAnsi" w:hAnsiTheme="minorHAnsi" w:cstheme="minorHAnsi"/>
                <w:sz w:val="22"/>
                <w:szCs w:val="22"/>
              </w:rPr>
              <w:t>3</w:t>
            </w:r>
          </w:p>
        </w:tc>
        <w:tc>
          <w:tcPr>
            <w:tcW w:w="2917" w:type="dxa"/>
          </w:tcPr>
          <w:p w:rsidR="009A6CBE" w:rsidRPr="00A1612D" w:rsidRDefault="009A6CBE" w:rsidP="00A1612D">
            <w:pPr>
              <w:pStyle w:val="Default"/>
              <w:rPr>
                <w:rFonts w:asciiTheme="minorHAnsi" w:hAnsiTheme="minorHAnsi"/>
                <w:sz w:val="22"/>
                <w:szCs w:val="22"/>
              </w:rPr>
            </w:pPr>
            <w:r w:rsidRPr="00A1612D">
              <w:rPr>
                <w:rFonts w:asciiTheme="minorHAnsi" w:hAnsiTheme="minorHAnsi"/>
                <w:sz w:val="22"/>
                <w:szCs w:val="22"/>
              </w:rPr>
              <w:t xml:space="preserve">Examine the feasibility of restructuring the Faculty to be a single business school without distinct departments. </w:t>
            </w:r>
          </w:p>
        </w:tc>
        <w:tc>
          <w:tcPr>
            <w:tcW w:w="1800" w:type="dxa"/>
          </w:tcPr>
          <w:p w:rsidR="009A6CBE" w:rsidRPr="00A1612D" w:rsidRDefault="009A6CBE" w:rsidP="00852EDB">
            <w:pPr>
              <w:rPr>
                <w:rFonts w:asciiTheme="minorHAnsi" w:hAnsiTheme="minorHAnsi" w:cstheme="minorHAnsi"/>
                <w:sz w:val="22"/>
                <w:szCs w:val="22"/>
              </w:rPr>
            </w:pPr>
            <w:r>
              <w:rPr>
                <w:rFonts w:asciiTheme="minorHAnsi" w:hAnsiTheme="minorHAnsi" w:cstheme="minorHAnsi"/>
                <w:sz w:val="22"/>
                <w:szCs w:val="22"/>
              </w:rPr>
              <w:t>Executive Dean</w:t>
            </w:r>
          </w:p>
        </w:tc>
        <w:tc>
          <w:tcPr>
            <w:tcW w:w="8506" w:type="dxa"/>
          </w:tcPr>
          <w:p w:rsidR="009A6CBE" w:rsidRDefault="009A6CBE" w:rsidP="00852EDB">
            <w:pPr>
              <w:rPr>
                <w:rFonts w:asciiTheme="minorHAnsi" w:hAnsiTheme="minorHAnsi" w:cstheme="minorHAnsi"/>
                <w:sz w:val="22"/>
                <w:szCs w:val="22"/>
              </w:rPr>
            </w:pPr>
            <w:r>
              <w:rPr>
                <w:rFonts w:asciiTheme="minorHAnsi" w:hAnsiTheme="minorHAnsi" w:cstheme="minorHAnsi"/>
                <w:sz w:val="22"/>
                <w:szCs w:val="22"/>
              </w:rPr>
              <w:t>Establish a working group to examine different models of business school structures with a view to ensuring FBE has a structure to support its mission.</w:t>
            </w:r>
          </w:p>
          <w:p w:rsidR="009A6CBE" w:rsidRDefault="009A6CBE" w:rsidP="00852EDB">
            <w:pPr>
              <w:rPr>
                <w:rFonts w:asciiTheme="minorHAnsi" w:hAnsiTheme="minorHAnsi" w:cstheme="minorHAnsi"/>
                <w:sz w:val="22"/>
                <w:szCs w:val="22"/>
              </w:rPr>
            </w:pPr>
            <w:r>
              <w:rPr>
                <w:rFonts w:asciiTheme="minorHAnsi" w:hAnsiTheme="minorHAnsi" w:cstheme="minorHAnsi"/>
                <w:sz w:val="22"/>
                <w:szCs w:val="22"/>
              </w:rPr>
              <w:t xml:space="preserve">The working group will be responsible for benchmarking FBE against similar types and size of schools and take into consideration input from Faculty staff. </w:t>
            </w:r>
          </w:p>
          <w:p w:rsidR="009A6CBE" w:rsidRPr="00A1612D" w:rsidRDefault="009A6CBE" w:rsidP="00852EDB">
            <w:pPr>
              <w:rPr>
                <w:rFonts w:asciiTheme="minorHAnsi" w:hAnsiTheme="minorHAnsi" w:cstheme="minorHAnsi"/>
                <w:sz w:val="22"/>
                <w:szCs w:val="22"/>
              </w:rPr>
            </w:pPr>
          </w:p>
        </w:tc>
      </w:tr>
      <w:tr w:rsidR="009A6CBE" w:rsidTr="00036130">
        <w:tc>
          <w:tcPr>
            <w:tcW w:w="635" w:type="dxa"/>
          </w:tcPr>
          <w:p w:rsidR="009A6CBE" w:rsidRPr="00A1612D" w:rsidRDefault="009A6CBE" w:rsidP="00852EDB">
            <w:pPr>
              <w:rPr>
                <w:rFonts w:asciiTheme="minorHAnsi" w:hAnsiTheme="minorHAnsi" w:cstheme="minorHAnsi"/>
                <w:sz w:val="22"/>
                <w:szCs w:val="22"/>
              </w:rPr>
            </w:pPr>
            <w:r w:rsidRPr="00A1612D">
              <w:rPr>
                <w:rFonts w:asciiTheme="minorHAnsi" w:hAnsiTheme="minorHAnsi" w:cstheme="minorHAnsi"/>
                <w:sz w:val="22"/>
                <w:szCs w:val="22"/>
              </w:rPr>
              <w:t>4</w:t>
            </w:r>
          </w:p>
        </w:tc>
        <w:tc>
          <w:tcPr>
            <w:tcW w:w="2917" w:type="dxa"/>
          </w:tcPr>
          <w:p w:rsidR="009A6CBE" w:rsidRPr="00A1612D" w:rsidRDefault="009A6CBE" w:rsidP="00A1612D">
            <w:pPr>
              <w:pStyle w:val="Default"/>
              <w:rPr>
                <w:rFonts w:asciiTheme="minorHAnsi" w:hAnsiTheme="minorHAnsi"/>
                <w:sz w:val="22"/>
                <w:szCs w:val="22"/>
              </w:rPr>
            </w:pPr>
            <w:r w:rsidRPr="00A1612D">
              <w:rPr>
                <w:rFonts w:asciiTheme="minorHAnsi" w:hAnsiTheme="minorHAnsi"/>
                <w:sz w:val="22"/>
                <w:szCs w:val="22"/>
              </w:rPr>
              <w:t xml:space="preserve">Increase the collaboration between FBE, the Macquarie Graduate School of Management (MGSM) and Applied Finance Centre (AFC) in order to better exploit potential synergies, create a stronger brand for the University and drive reputation in the area of business. As a first step, enhance teaching collaboration geared to increasing the number of postgraduate business students at Macquarie University. </w:t>
            </w:r>
          </w:p>
        </w:tc>
        <w:tc>
          <w:tcPr>
            <w:tcW w:w="1800" w:type="dxa"/>
          </w:tcPr>
          <w:p w:rsidR="009A6CBE" w:rsidRPr="00A1612D" w:rsidRDefault="009A6CBE" w:rsidP="00852EDB">
            <w:pPr>
              <w:rPr>
                <w:rFonts w:asciiTheme="minorHAnsi" w:hAnsiTheme="minorHAnsi" w:cstheme="minorHAnsi"/>
                <w:sz w:val="22"/>
                <w:szCs w:val="22"/>
              </w:rPr>
            </w:pPr>
            <w:r>
              <w:rPr>
                <w:rFonts w:asciiTheme="minorHAnsi" w:hAnsiTheme="minorHAnsi" w:cstheme="minorHAnsi"/>
                <w:sz w:val="22"/>
                <w:szCs w:val="22"/>
              </w:rPr>
              <w:t>Executive Dean, HoD AFAS</w:t>
            </w:r>
          </w:p>
        </w:tc>
        <w:tc>
          <w:tcPr>
            <w:tcW w:w="8506" w:type="dxa"/>
          </w:tcPr>
          <w:p w:rsidR="009A6CBE" w:rsidRDefault="009A6CBE" w:rsidP="00375925">
            <w:pPr>
              <w:rPr>
                <w:rFonts w:asciiTheme="minorHAnsi" w:hAnsiTheme="minorHAnsi" w:cstheme="minorHAnsi"/>
                <w:sz w:val="22"/>
                <w:szCs w:val="22"/>
              </w:rPr>
            </w:pPr>
            <w:r>
              <w:rPr>
                <w:rFonts w:asciiTheme="minorHAnsi" w:hAnsiTheme="minorHAnsi" w:cstheme="minorHAnsi"/>
                <w:sz w:val="22"/>
                <w:szCs w:val="22"/>
              </w:rPr>
              <w:t xml:space="preserve">Continue to seek opportunities for greater collaboration </w:t>
            </w:r>
            <w:r w:rsidR="002A26AF">
              <w:rPr>
                <w:rFonts w:asciiTheme="minorHAnsi" w:hAnsiTheme="minorHAnsi" w:cstheme="minorHAnsi"/>
                <w:sz w:val="22"/>
                <w:szCs w:val="22"/>
              </w:rPr>
              <w:t xml:space="preserve">on Research and Teaching </w:t>
            </w:r>
            <w:r>
              <w:rPr>
                <w:rFonts w:asciiTheme="minorHAnsi" w:hAnsiTheme="minorHAnsi" w:cstheme="minorHAnsi"/>
                <w:sz w:val="22"/>
                <w:szCs w:val="22"/>
              </w:rPr>
              <w:t xml:space="preserve">between FBE, MGSM and AFC.  For example, explore areas of overlap in finance teaching </w:t>
            </w:r>
            <w:r w:rsidRPr="00036130">
              <w:rPr>
                <w:rFonts w:asciiTheme="minorHAnsi" w:hAnsiTheme="minorHAnsi" w:cstheme="minorHAnsi"/>
                <w:sz w:val="22"/>
                <w:szCs w:val="22"/>
              </w:rPr>
              <w:t>across the entities with a view to rationalising the offerings.</w:t>
            </w:r>
          </w:p>
          <w:p w:rsidR="009A6CBE" w:rsidRDefault="009A6CBE" w:rsidP="00375925">
            <w:pPr>
              <w:rPr>
                <w:rFonts w:asciiTheme="minorHAnsi" w:hAnsiTheme="minorHAnsi" w:cstheme="minorHAnsi"/>
                <w:sz w:val="22"/>
                <w:szCs w:val="22"/>
              </w:rPr>
            </w:pPr>
          </w:p>
          <w:p w:rsidR="009A6CBE" w:rsidRDefault="009A6CBE" w:rsidP="00375925">
            <w:pPr>
              <w:rPr>
                <w:rFonts w:asciiTheme="minorHAnsi" w:hAnsiTheme="minorHAnsi" w:cstheme="minorHAnsi"/>
                <w:sz w:val="22"/>
                <w:szCs w:val="22"/>
              </w:rPr>
            </w:pPr>
            <w:r>
              <w:rPr>
                <w:rFonts w:asciiTheme="minorHAnsi" w:hAnsiTheme="minorHAnsi" w:cstheme="minorHAnsi"/>
                <w:sz w:val="22"/>
                <w:szCs w:val="22"/>
              </w:rPr>
              <w:t xml:space="preserve">Note: It is anticipated that the recent </w:t>
            </w:r>
            <w:r w:rsidRPr="00375925">
              <w:rPr>
                <w:rFonts w:asciiTheme="minorHAnsi" w:hAnsiTheme="minorHAnsi" w:cstheme="minorHAnsi"/>
                <w:sz w:val="22"/>
                <w:szCs w:val="22"/>
              </w:rPr>
              <w:t xml:space="preserve">appointment of the </w:t>
            </w:r>
            <w:r>
              <w:rPr>
                <w:rFonts w:asciiTheme="minorHAnsi" w:hAnsiTheme="minorHAnsi" w:cstheme="minorHAnsi"/>
                <w:sz w:val="22"/>
                <w:szCs w:val="22"/>
              </w:rPr>
              <w:t>former Director of the Applied Finance Centre as the Head of the Department of Applied Finance and Actuarial Studies will assist in implementing the response to this recommendation.</w:t>
            </w:r>
          </w:p>
          <w:p w:rsidR="009A6CBE" w:rsidRDefault="009A6CBE" w:rsidP="00852EDB">
            <w:pPr>
              <w:rPr>
                <w:rFonts w:asciiTheme="minorHAnsi" w:hAnsiTheme="minorHAnsi" w:cstheme="minorHAnsi"/>
                <w:sz w:val="22"/>
                <w:szCs w:val="22"/>
              </w:rPr>
            </w:pPr>
            <w:r w:rsidRPr="00375925">
              <w:rPr>
                <w:rFonts w:asciiTheme="minorHAnsi" w:hAnsiTheme="minorHAnsi" w:cstheme="minorHAnsi"/>
                <w:sz w:val="22"/>
                <w:szCs w:val="22"/>
              </w:rPr>
              <w:t xml:space="preserve"> </w:t>
            </w:r>
          </w:p>
          <w:p w:rsidR="009A6CBE" w:rsidRDefault="00CA30DE" w:rsidP="00852EDB">
            <w:pPr>
              <w:rPr>
                <w:rFonts w:asciiTheme="minorHAnsi" w:hAnsiTheme="minorHAnsi" w:cstheme="minorHAnsi"/>
                <w:sz w:val="22"/>
                <w:szCs w:val="22"/>
              </w:rPr>
            </w:pPr>
            <w:r>
              <w:rPr>
                <w:rFonts w:asciiTheme="minorHAnsi" w:hAnsiTheme="minorHAnsi" w:cstheme="minorHAnsi"/>
                <w:sz w:val="22"/>
                <w:szCs w:val="22"/>
              </w:rPr>
              <w:t>Engage with the University discussions on the branding and presentation of MGSM/FBE to the broader business community.</w:t>
            </w:r>
          </w:p>
          <w:p w:rsidR="009A6CBE" w:rsidRPr="00A1612D" w:rsidRDefault="009A6CBE" w:rsidP="00852EDB">
            <w:pPr>
              <w:rPr>
                <w:rFonts w:asciiTheme="minorHAnsi" w:hAnsiTheme="minorHAnsi" w:cstheme="minorHAnsi"/>
                <w:sz w:val="22"/>
                <w:szCs w:val="22"/>
              </w:rPr>
            </w:pPr>
          </w:p>
        </w:tc>
      </w:tr>
    </w:tbl>
    <w:p w:rsidR="00036130" w:rsidRDefault="00036130" w:rsidP="00036130"/>
    <w:p w:rsidR="00036130" w:rsidRDefault="00036130">
      <w:pPr>
        <w:rPr>
          <w:rFonts w:ascii="Arial" w:hAnsi="Arial" w:cs="Arial"/>
          <w:b/>
          <w:bCs/>
          <w:sz w:val="26"/>
          <w:szCs w:val="26"/>
        </w:rPr>
      </w:pPr>
      <w:r>
        <w:br w:type="page"/>
      </w:r>
    </w:p>
    <w:p w:rsidR="0063693E" w:rsidRDefault="00A1612D" w:rsidP="0063693E">
      <w:pPr>
        <w:pStyle w:val="Heading3"/>
        <w:numPr>
          <w:ilvl w:val="0"/>
          <w:numId w:val="1"/>
        </w:numPr>
      </w:pPr>
      <w:r>
        <w:lastRenderedPageBreak/>
        <w:t>Finance and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33"/>
        <w:gridCol w:w="1800"/>
        <w:gridCol w:w="8489"/>
      </w:tblGrid>
      <w:tr w:rsidR="007201C3" w:rsidTr="00036130">
        <w:tc>
          <w:tcPr>
            <w:tcW w:w="636" w:type="dxa"/>
          </w:tcPr>
          <w:p w:rsidR="007201C3" w:rsidRPr="00654044" w:rsidRDefault="007201C3" w:rsidP="00654044">
            <w:pPr>
              <w:jc w:val="center"/>
              <w:rPr>
                <w:rFonts w:ascii="Verdana" w:hAnsi="Verdana"/>
                <w:b/>
                <w:sz w:val="20"/>
                <w:szCs w:val="20"/>
              </w:rPr>
            </w:pPr>
            <w:r w:rsidRPr="00654044">
              <w:rPr>
                <w:rFonts w:ascii="Verdana" w:hAnsi="Verdana"/>
                <w:b/>
                <w:sz w:val="20"/>
                <w:szCs w:val="20"/>
              </w:rPr>
              <w:t>Rec No.</w:t>
            </w:r>
          </w:p>
        </w:tc>
        <w:tc>
          <w:tcPr>
            <w:tcW w:w="2933" w:type="dxa"/>
          </w:tcPr>
          <w:p w:rsidR="007201C3" w:rsidRPr="00654044" w:rsidRDefault="007201C3" w:rsidP="00654044">
            <w:pPr>
              <w:jc w:val="center"/>
              <w:rPr>
                <w:rFonts w:ascii="Verdana" w:hAnsi="Verdana"/>
                <w:b/>
                <w:sz w:val="20"/>
                <w:szCs w:val="20"/>
              </w:rPr>
            </w:pPr>
            <w:r w:rsidRPr="00654044">
              <w:rPr>
                <w:rFonts w:ascii="Verdana" w:hAnsi="Verdana"/>
                <w:b/>
                <w:sz w:val="20"/>
                <w:szCs w:val="20"/>
              </w:rPr>
              <w:t>Recommendation</w:t>
            </w:r>
          </w:p>
        </w:tc>
        <w:tc>
          <w:tcPr>
            <w:tcW w:w="1800" w:type="dxa"/>
          </w:tcPr>
          <w:p w:rsidR="007201C3" w:rsidRPr="00654044" w:rsidRDefault="007201C3" w:rsidP="00654044">
            <w:pPr>
              <w:jc w:val="center"/>
              <w:rPr>
                <w:rFonts w:ascii="Verdana" w:hAnsi="Verdana"/>
                <w:b/>
                <w:sz w:val="20"/>
                <w:szCs w:val="20"/>
              </w:rPr>
            </w:pPr>
            <w:r w:rsidRPr="00654044">
              <w:rPr>
                <w:rFonts w:ascii="Verdana" w:hAnsi="Verdana"/>
                <w:b/>
                <w:sz w:val="20"/>
                <w:szCs w:val="20"/>
              </w:rPr>
              <w:t>Responsibility</w:t>
            </w:r>
          </w:p>
        </w:tc>
        <w:tc>
          <w:tcPr>
            <w:tcW w:w="8489" w:type="dxa"/>
          </w:tcPr>
          <w:p w:rsidR="007201C3" w:rsidRPr="00654044" w:rsidRDefault="007201C3" w:rsidP="00654044">
            <w:pPr>
              <w:jc w:val="center"/>
              <w:rPr>
                <w:rFonts w:ascii="Verdana" w:hAnsi="Verdana"/>
                <w:b/>
                <w:sz w:val="20"/>
                <w:szCs w:val="20"/>
              </w:rPr>
            </w:pPr>
            <w:r w:rsidRPr="00654044">
              <w:rPr>
                <w:rFonts w:ascii="Verdana" w:hAnsi="Verdana"/>
                <w:b/>
                <w:sz w:val="20"/>
                <w:szCs w:val="20"/>
              </w:rPr>
              <w:t>Response and Status</w:t>
            </w:r>
          </w:p>
        </w:tc>
      </w:tr>
      <w:tr w:rsidR="007201C3" w:rsidTr="00036130">
        <w:tc>
          <w:tcPr>
            <w:tcW w:w="636" w:type="dxa"/>
          </w:tcPr>
          <w:p w:rsidR="007201C3" w:rsidRPr="00A1612D" w:rsidRDefault="007201C3" w:rsidP="00852EDB">
            <w:pPr>
              <w:rPr>
                <w:rFonts w:asciiTheme="minorHAnsi" w:hAnsiTheme="minorHAnsi" w:cstheme="minorHAnsi"/>
                <w:sz w:val="22"/>
                <w:szCs w:val="22"/>
              </w:rPr>
            </w:pPr>
            <w:r w:rsidRPr="00A1612D">
              <w:rPr>
                <w:rFonts w:asciiTheme="minorHAnsi" w:hAnsiTheme="minorHAnsi" w:cstheme="minorHAnsi"/>
                <w:sz w:val="22"/>
                <w:szCs w:val="22"/>
              </w:rPr>
              <w:t>5</w:t>
            </w:r>
          </w:p>
        </w:tc>
        <w:tc>
          <w:tcPr>
            <w:tcW w:w="2933" w:type="dxa"/>
          </w:tcPr>
          <w:p w:rsidR="007201C3" w:rsidRPr="00A1612D" w:rsidRDefault="007201C3" w:rsidP="00A1612D">
            <w:pPr>
              <w:pStyle w:val="Default"/>
              <w:rPr>
                <w:rFonts w:asciiTheme="minorHAnsi" w:hAnsiTheme="minorHAnsi"/>
                <w:sz w:val="22"/>
                <w:szCs w:val="22"/>
              </w:rPr>
            </w:pPr>
            <w:r w:rsidRPr="00A1612D">
              <w:rPr>
                <w:rFonts w:asciiTheme="minorHAnsi" w:hAnsiTheme="minorHAnsi"/>
                <w:sz w:val="22"/>
                <w:szCs w:val="22"/>
              </w:rPr>
              <w:t xml:space="preserve">Increase investment in the Faculty’s research pursuits by appointing more senior research staff to develop the Faculty’s research culture and provide mentorship to junior staff. </w:t>
            </w:r>
          </w:p>
        </w:tc>
        <w:tc>
          <w:tcPr>
            <w:tcW w:w="1800" w:type="dxa"/>
          </w:tcPr>
          <w:p w:rsidR="00CA30DE" w:rsidRPr="00A1612D" w:rsidRDefault="00CA30DE" w:rsidP="00852EDB">
            <w:pPr>
              <w:rPr>
                <w:rFonts w:asciiTheme="minorHAnsi" w:hAnsiTheme="minorHAnsi" w:cstheme="minorHAnsi"/>
                <w:sz w:val="22"/>
                <w:szCs w:val="22"/>
              </w:rPr>
            </w:pPr>
            <w:r>
              <w:rPr>
                <w:rFonts w:asciiTheme="minorHAnsi" w:hAnsiTheme="minorHAnsi" w:cstheme="minorHAnsi"/>
                <w:sz w:val="22"/>
                <w:szCs w:val="22"/>
              </w:rPr>
              <w:t>Executive Dean</w:t>
            </w:r>
          </w:p>
        </w:tc>
        <w:tc>
          <w:tcPr>
            <w:tcW w:w="8489" w:type="dxa"/>
          </w:tcPr>
          <w:p w:rsidR="007201C3" w:rsidRDefault="007201C3" w:rsidP="009A6CBE">
            <w:pPr>
              <w:rPr>
                <w:rFonts w:asciiTheme="minorHAnsi" w:hAnsiTheme="minorHAnsi" w:cstheme="minorHAnsi"/>
                <w:sz w:val="22"/>
                <w:szCs w:val="22"/>
              </w:rPr>
            </w:pPr>
            <w:r>
              <w:rPr>
                <w:rFonts w:asciiTheme="minorHAnsi" w:hAnsiTheme="minorHAnsi" w:cstheme="minorHAnsi"/>
                <w:sz w:val="22"/>
                <w:szCs w:val="22"/>
              </w:rPr>
              <w:t>An investment in the Faculty’s research capability was proposed in the 2014 budget</w:t>
            </w:r>
            <w:r w:rsidR="00CA30DE">
              <w:rPr>
                <w:rFonts w:asciiTheme="minorHAnsi" w:hAnsiTheme="minorHAnsi" w:cstheme="minorHAnsi"/>
                <w:sz w:val="22"/>
                <w:szCs w:val="22"/>
              </w:rPr>
              <w:t xml:space="preserve"> and subsequently registered</w:t>
            </w:r>
            <w:r w:rsidR="00B34FD7">
              <w:rPr>
                <w:rFonts w:asciiTheme="minorHAnsi" w:hAnsiTheme="minorHAnsi" w:cstheme="minorHAnsi"/>
                <w:sz w:val="22"/>
                <w:szCs w:val="22"/>
              </w:rPr>
              <w:t>.</w:t>
            </w:r>
          </w:p>
          <w:p w:rsidR="007201C3" w:rsidRDefault="007201C3" w:rsidP="009A6CBE">
            <w:pPr>
              <w:rPr>
                <w:rFonts w:asciiTheme="minorHAnsi" w:hAnsiTheme="minorHAnsi" w:cstheme="minorHAnsi"/>
                <w:sz w:val="22"/>
                <w:szCs w:val="22"/>
              </w:rPr>
            </w:pPr>
          </w:p>
          <w:p w:rsidR="007201C3" w:rsidRDefault="007201C3" w:rsidP="007201C3">
            <w:pPr>
              <w:rPr>
                <w:rFonts w:asciiTheme="minorHAnsi" w:hAnsiTheme="minorHAnsi" w:cstheme="minorHAnsi"/>
                <w:sz w:val="22"/>
                <w:szCs w:val="22"/>
              </w:rPr>
            </w:pPr>
            <w:r>
              <w:rPr>
                <w:rFonts w:asciiTheme="minorHAnsi" w:hAnsiTheme="minorHAnsi" w:cstheme="minorHAnsi"/>
                <w:sz w:val="22"/>
                <w:szCs w:val="22"/>
              </w:rPr>
              <w:t>Redefine the Faculty’s definition of “research active status” to take into account the level of academic appointment which will improve the quality of research outputs in line with the research capability of the Faculty.</w:t>
            </w:r>
          </w:p>
          <w:p w:rsidR="00CA30DE" w:rsidRDefault="00CA30DE" w:rsidP="007201C3">
            <w:pPr>
              <w:rPr>
                <w:rFonts w:asciiTheme="minorHAnsi" w:hAnsiTheme="minorHAnsi" w:cstheme="minorHAnsi"/>
                <w:sz w:val="22"/>
                <w:szCs w:val="22"/>
              </w:rPr>
            </w:pPr>
          </w:p>
          <w:p w:rsidR="00CA30DE" w:rsidRPr="00A1612D" w:rsidRDefault="00CA30DE" w:rsidP="007201C3">
            <w:pPr>
              <w:rPr>
                <w:rFonts w:asciiTheme="minorHAnsi" w:hAnsiTheme="minorHAnsi" w:cstheme="minorHAnsi"/>
                <w:sz w:val="22"/>
                <w:szCs w:val="22"/>
              </w:rPr>
            </w:pPr>
            <w:r>
              <w:rPr>
                <w:rFonts w:asciiTheme="minorHAnsi" w:hAnsiTheme="minorHAnsi" w:cstheme="minorHAnsi"/>
                <w:sz w:val="22"/>
                <w:szCs w:val="22"/>
              </w:rPr>
              <w:t>Manage long term workplace development</w:t>
            </w:r>
            <w:r w:rsidR="00B34FD7">
              <w:rPr>
                <w:rFonts w:asciiTheme="minorHAnsi" w:hAnsiTheme="minorHAnsi" w:cstheme="minorHAnsi"/>
                <w:sz w:val="22"/>
                <w:szCs w:val="22"/>
              </w:rPr>
              <w:t>.</w:t>
            </w:r>
          </w:p>
        </w:tc>
      </w:tr>
    </w:tbl>
    <w:p w:rsidR="00776533" w:rsidRDefault="00776533">
      <w:pPr>
        <w:rPr>
          <w:rFonts w:ascii="Arial" w:hAnsi="Arial" w:cs="Arial"/>
          <w:b/>
          <w:bCs/>
          <w:sz w:val="26"/>
          <w:szCs w:val="26"/>
        </w:rPr>
      </w:pPr>
    </w:p>
    <w:p w:rsidR="0063693E" w:rsidRDefault="00A1612D" w:rsidP="0063693E">
      <w:pPr>
        <w:pStyle w:val="Heading3"/>
        <w:numPr>
          <w:ilvl w:val="0"/>
          <w:numId w:val="1"/>
        </w:numPr>
      </w:pPr>
      <w:r>
        <w:t>Academic Programs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909"/>
        <w:gridCol w:w="1800"/>
        <w:gridCol w:w="8514"/>
      </w:tblGrid>
      <w:tr w:rsidR="00B65C0D" w:rsidTr="00036130">
        <w:tc>
          <w:tcPr>
            <w:tcW w:w="635" w:type="dxa"/>
          </w:tcPr>
          <w:p w:rsidR="00B65C0D" w:rsidRPr="00654044" w:rsidRDefault="00B65C0D" w:rsidP="00654044">
            <w:pPr>
              <w:jc w:val="center"/>
              <w:rPr>
                <w:rFonts w:ascii="Verdana" w:hAnsi="Verdana"/>
                <w:b/>
                <w:sz w:val="20"/>
                <w:szCs w:val="20"/>
              </w:rPr>
            </w:pPr>
            <w:r w:rsidRPr="00654044">
              <w:rPr>
                <w:rFonts w:ascii="Verdana" w:hAnsi="Verdana"/>
                <w:b/>
                <w:sz w:val="20"/>
                <w:szCs w:val="20"/>
              </w:rPr>
              <w:t>Rec No.</w:t>
            </w:r>
          </w:p>
        </w:tc>
        <w:tc>
          <w:tcPr>
            <w:tcW w:w="2909" w:type="dxa"/>
          </w:tcPr>
          <w:p w:rsidR="00B65C0D" w:rsidRPr="00654044" w:rsidRDefault="00B65C0D" w:rsidP="00654044">
            <w:pPr>
              <w:jc w:val="center"/>
              <w:rPr>
                <w:rFonts w:ascii="Verdana" w:hAnsi="Verdana"/>
                <w:b/>
                <w:sz w:val="20"/>
                <w:szCs w:val="20"/>
              </w:rPr>
            </w:pPr>
            <w:r w:rsidRPr="00654044">
              <w:rPr>
                <w:rFonts w:ascii="Verdana" w:hAnsi="Verdana"/>
                <w:b/>
                <w:sz w:val="20"/>
                <w:szCs w:val="20"/>
              </w:rPr>
              <w:t>Recommendation</w:t>
            </w:r>
          </w:p>
        </w:tc>
        <w:tc>
          <w:tcPr>
            <w:tcW w:w="1800" w:type="dxa"/>
          </w:tcPr>
          <w:p w:rsidR="00B65C0D" w:rsidRPr="00654044" w:rsidRDefault="00B65C0D" w:rsidP="00654044">
            <w:pPr>
              <w:jc w:val="center"/>
              <w:rPr>
                <w:rFonts w:ascii="Verdana" w:hAnsi="Verdana"/>
                <w:b/>
                <w:sz w:val="20"/>
                <w:szCs w:val="20"/>
              </w:rPr>
            </w:pPr>
            <w:r w:rsidRPr="00654044">
              <w:rPr>
                <w:rFonts w:ascii="Verdana" w:hAnsi="Verdana"/>
                <w:b/>
                <w:sz w:val="20"/>
                <w:szCs w:val="20"/>
              </w:rPr>
              <w:t>Responsibility</w:t>
            </w:r>
          </w:p>
        </w:tc>
        <w:tc>
          <w:tcPr>
            <w:tcW w:w="8514" w:type="dxa"/>
          </w:tcPr>
          <w:p w:rsidR="00B65C0D" w:rsidRPr="00654044" w:rsidRDefault="00B65C0D" w:rsidP="00654044">
            <w:pPr>
              <w:jc w:val="center"/>
              <w:rPr>
                <w:rFonts w:ascii="Verdana" w:hAnsi="Verdana"/>
                <w:b/>
                <w:sz w:val="20"/>
                <w:szCs w:val="20"/>
              </w:rPr>
            </w:pPr>
            <w:r w:rsidRPr="00654044">
              <w:rPr>
                <w:rFonts w:ascii="Verdana" w:hAnsi="Verdana"/>
                <w:b/>
                <w:sz w:val="20"/>
                <w:szCs w:val="20"/>
              </w:rPr>
              <w:t>Response and Status</w:t>
            </w:r>
          </w:p>
        </w:tc>
      </w:tr>
      <w:tr w:rsidR="00B65C0D" w:rsidTr="00036130">
        <w:tc>
          <w:tcPr>
            <w:tcW w:w="635" w:type="dxa"/>
          </w:tcPr>
          <w:p w:rsidR="00B65C0D" w:rsidRPr="00A1612D" w:rsidRDefault="00B65C0D" w:rsidP="00852EDB">
            <w:pPr>
              <w:rPr>
                <w:rFonts w:asciiTheme="minorHAnsi" w:hAnsiTheme="minorHAnsi" w:cstheme="minorHAnsi"/>
                <w:sz w:val="22"/>
                <w:szCs w:val="22"/>
              </w:rPr>
            </w:pPr>
            <w:r w:rsidRPr="00A1612D">
              <w:rPr>
                <w:rFonts w:asciiTheme="minorHAnsi" w:hAnsiTheme="minorHAnsi" w:cstheme="minorHAnsi"/>
                <w:sz w:val="22"/>
                <w:szCs w:val="22"/>
              </w:rPr>
              <w:t>6</w:t>
            </w:r>
          </w:p>
        </w:tc>
        <w:tc>
          <w:tcPr>
            <w:tcW w:w="2909" w:type="dxa"/>
          </w:tcPr>
          <w:p w:rsidR="00B65C0D" w:rsidRPr="00A1612D" w:rsidRDefault="00B65C0D" w:rsidP="00A1612D">
            <w:pPr>
              <w:pStyle w:val="Default"/>
              <w:rPr>
                <w:rFonts w:asciiTheme="minorHAnsi" w:hAnsiTheme="minorHAnsi"/>
                <w:sz w:val="22"/>
                <w:szCs w:val="22"/>
              </w:rPr>
            </w:pPr>
            <w:r w:rsidRPr="00A1612D">
              <w:rPr>
                <w:rFonts w:asciiTheme="minorHAnsi" w:hAnsiTheme="minorHAnsi"/>
                <w:sz w:val="22"/>
                <w:szCs w:val="22"/>
              </w:rPr>
              <w:t xml:space="preserve">Examine potential areas of synergy between FBE, MGSM and AFC in order enhance the program offerings of the Faculty at the postgraduate level. </w:t>
            </w:r>
          </w:p>
        </w:tc>
        <w:tc>
          <w:tcPr>
            <w:tcW w:w="1800" w:type="dxa"/>
          </w:tcPr>
          <w:p w:rsidR="00B65C0D" w:rsidRPr="00A1612D" w:rsidRDefault="00B65C0D" w:rsidP="00852EDB">
            <w:pPr>
              <w:rPr>
                <w:rFonts w:asciiTheme="minorHAnsi" w:hAnsiTheme="minorHAnsi" w:cstheme="minorHAnsi"/>
                <w:sz w:val="22"/>
                <w:szCs w:val="22"/>
              </w:rPr>
            </w:pPr>
            <w:r>
              <w:rPr>
                <w:rFonts w:asciiTheme="minorHAnsi" w:hAnsiTheme="minorHAnsi" w:cstheme="minorHAnsi"/>
                <w:sz w:val="22"/>
                <w:szCs w:val="22"/>
              </w:rPr>
              <w:t>Executive Dean, HoD AFAS</w:t>
            </w:r>
          </w:p>
        </w:tc>
        <w:tc>
          <w:tcPr>
            <w:tcW w:w="8514" w:type="dxa"/>
          </w:tcPr>
          <w:p w:rsidR="00B65C0D" w:rsidRPr="00A1612D" w:rsidRDefault="00B65C0D" w:rsidP="00852EDB">
            <w:pPr>
              <w:rPr>
                <w:rFonts w:asciiTheme="minorHAnsi" w:hAnsiTheme="minorHAnsi" w:cstheme="minorHAnsi"/>
                <w:sz w:val="22"/>
                <w:szCs w:val="22"/>
              </w:rPr>
            </w:pPr>
            <w:r>
              <w:rPr>
                <w:rFonts w:asciiTheme="minorHAnsi" w:hAnsiTheme="minorHAnsi" w:cstheme="minorHAnsi"/>
                <w:sz w:val="22"/>
                <w:szCs w:val="22"/>
              </w:rPr>
              <w:t>As above, Recommendation 4.</w:t>
            </w:r>
          </w:p>
        </w:tc>
      </w:tr>
    </w:tbl>
    <w:p w:rsidR="0031616C" w:rsidRDefault="0031616C">
      <w:pPr>
        <w:rPr>
          <w:rFonts w:ascii="Arial" w:hAnsi="Arial" w:cs="Arial"/>
          <w:b/>
          <w:bCs/>
          <w:sz w:val="26"/>
          <w:szCs w:val="26"/>
        </w:rPr>
      </w:pPr>
    </w:p>
    <w:p w:rsidR="00036130" w:rsidRDefault="00036130">
      <w:pPr>
        <w:rPr>
          <w:rFonts w:ascii="Arial" w:hAnsi="Arial" w:cs="Arial"/>
          <w:b/>
          <w:bCs/>
          <w:sz w:val="26"/>
          <w:szCs w:val="26"/>
        </w:rPr>
      </w:pPr>
      <w:r>
        <w:br w:type="page"/>
      </w:r>
    </w:p>
    <w:p w:rsidR="0063693E" w:rsidRDefault="00A1612D" w:rsidP="0063693E">
      <w:pPr>
        <w:pStyle w:val="Heading3"/>
        <w:numPr>
          <w:ilvl w:val="0"/>
          <w:numId w:val="1"/>
        </w:numPr>
      </w:pPr>
      <w:r>
        <w:lastRenderedPageBreak/>
        <w:t>Research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11"/>
        <w:gridCol w:w="1800"/>
        <w:gridCol w:w="8511"/>
      </w:tblGrid>
      <w:tr w:rsidR="00D711A6" w:rsidTr="00036130">
        <w:tc>
          <w:tcPr>
            <w:tcW w:w="636"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Rec No.</w:t>
            </w:r>
          </w:p>
        </w:tc>
        <w:tc>
          <w:tcPr>
            <w:tcW w:w="2911"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Recommendation</w:t>
            </w:r>
          </w:p>
        </w:tc>
        <w:tc>
          <w:tcPr>
            <w:tcW w:w="1800"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Responsibility</w:t>
            </w:r>
          </w:p>
        </w:tc>
        <w:tc>
          <w:tcPr>
            <w:tcW w:w="8511"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Response and Status</w:t>
            </w:r>
          </w:p>
        </w:tc>
      </w:tr>
      <w:tr w:rsidR="00D711A6" w:rsidTr="00036130">
        <w:tc>
          <w:tcPr>
            <w:tcW w:w="636"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t>7</w:t>
            </w:r>
          </w:p>
        </w:tc>
        <w:tc>
          <w:tcPr>
            <w:tcW w:w="2911"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Set an ambitious research vision in key areas where the Faculty can develop an exceptional reputation. </w:t>
            </w:r>
          </w:p>
        </w:tc>
        <w:tc>
          <w:tcPr>
            <w:tcW w:w="1800" w:type="dxa"/>
          </w:tcPr>
          <w:p w:rsidR="00D711A6" w:rsidRPr="00794C73" w:rsidRDefault="00CA30DE" w:rsidP="00CB1679">
            <w:pPr>
              <w:rPr>
                <w:rFonts w:asciiTheme="minorHAnsi" w:hAnsiTheme="minorHAnsi" w:cstheme="minorHAnsi"/>
                <w:sz w:val="22"/>
                <w:szCs w:val="22"/>
              </w:rPr>
            </w:pPr>
            <w:r>
              <w:rPr>
                <w:rFonts w:asciiTheme="minorHAnsi" w:hAnsiTheme="minorHAnsi" w:cstheme="minorHAnsi"/>
                <w:sz w:val="22"/>
                <w:szCs w:val="22"/>
              </w:rPr>
              <w:t>Executive Dean</w:t>
            </w:r>
          </w:p>
        </w:tc>
        <w:tc>
          <w:tcPr>
            <w:tcW w:w="8511" w:type="dxa"/>
          </w:tcPr>
          <w:p w:rsidR="00D711A6" w:rsidRDefault="00D711A6" w:rsidP="00852EDB">
            <w:pPr>
              <w:rPr>
                <w:rFonts w:asciiTheme="minorHAnsi" w:hAnsiTheme="minorHAnsi" w:cstheme="minorHAnsi"/>
                <w:sz w:val="22"/>
                <w:szCs w:val="22"/>
              </w:rPr>
            </w:pPr>
            <w:r>
              <w:rPr>
                <w:rFonts w:asciiTheme="minorHAnsi" w:hAnsiTheme="minorHAnsi" w:cstheme="minorHAnsi"/>
                <w:sz w:val="22"/>
                <w:szCs w:val="22"/>
              </w:rPr>
              <w:t>Trial an organic approach to developing key areas of research as follows:</w:t>
            </w:r>
          </w:p>
          <w:p w:rsidR="00D711A6" w:rsidRDefault="00D711A6" w:rsidP="00852ED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Step 1: </w:t>
            </w:r>
            <w:r w:rsidRPr="00044B76">
              <w:rPr>
                <w:rFonts w:asciiTheme="minorHAnsi" w:hAnsiTheme="minorHAnsi" w:cstheme="minorHAnsi"/>
                <w:sz w:val="22"/>
                <w:szCs w:val="22"/>
              </w:rPr>
              <w:t xml:space="preserve">Informal clusters </w:t>
            </w:r>
            <w:r w:rsidR="00A177DA">
              <w:rPr>
                <w:rFonts w:asciiTheme="minorHAnsi" w:hAnsiTheme="minorHAnsi" w:cstheme="minorHAnsi"/>
                <w:sz w:val="22"/>
                <w:szCs w:val="22"/>
              </w:rPr>
              <w:t xml:space="preserve"> may </w:t>
            </w:r>
            <w:r w:rsidRPr="00044B76">
              <w:rPr>
                <w:rFonts w:asciiTheme="minorHAnsi" w:hAnsiTheme="minorHAnsi" w:cstheme="minorHAnsi"/>
                <w:sz w:val="22"/>
                <w:szCs w:val="22"/>
              </w:rPr>
              <w:t xml:space="preserve">pitch research proposals </w:t>
            </w:r>
            <w:r w:rsidR="002A26AF">
              <w:rPr>
                <w:rFonts w:asciiTheme="minorHAnsi" w:hAnsiTheme="minorHAnsi" w:cstheme="minorHAnsi"/>
                <w:sz w:val="22"/>
                <w:szCs w:val="22"/>
              </w:rPr>
              <w:t xml:space="preserve">for Faculty funding </w:t>
            </w:r>
            <w:r w:rsidRPr="00044B76">
              <w:rPr>
                <w:rFonts w:asciiTheme="minorHAnsi" w:hAnsiTheme="minorHAnsi" w:cstheme="minorHAnsi"/>
                <w:sz w:val="22"/>
                <w:szCs w:val="22"/>
              </w:rPr>
              <w:t xml:space="preserve">to a committee which will allocate </w:t>
            </w:r>
            <w:r>
              <w:rPr>
                <w:rFonts w:asciiTheme="minorHAnsi" w:hAnsiTheme="minorHAnsi" w:cstheme="minorHAnsi"/>
                <w:sz w:val="22"/>
                <w:szCs w:val="22"/>
              </w:rPr>
              <w:t>six months</w:t>
            </w:r>
            <w:r w:rsidRPr="00044B76">
              <w:rPr>
                <w:rFonts w:asciiTheme="minorHAnsi" w:hAnsiTheme="minorHAnsi" w:cstheme="minorHAnsi"/>
                <w:sz w:val="22"/>
                <w:szCs w:val="22"/>
              </w:rPr>
              <w:t xml:space="preserve"> of research seed funding </w:t>
            </w:r>
            <w:r>
              <w:rPr>
                <w:rFonts w:asciiTheme="minorHAnsi" w:hAnsiTheme="minorHAnsi" w:cstheme="minorHAnsi"/>
                <w:sz w:val="22"/>
                <w:szCs w:val="22"/>
              </w:rPr>
              <w:t xml:space="preserve">to successful proposals </w:t>
            </w:r>
            <w:r w:rsidRPr="00044B76">
              <w:rPr>
                <w:rFonts w:asciiTheme="minorHAnsi" w:hAnsiTheme="minorHAnsi" w:cstheme="minorHAnsi"/>
                <w:sz w:val="22"/>
                <w:szCs w:val="22"/>
              </w:rPr>
              <w:t>based on specified criteria</w:t>
            </w:r>
            <w:r>
              <w:rPr>
                <w:rFonts w:asciiTheme="minorHAnsi" w:hAnsiTheme="minorHAnsi" w:cstheme="minorHAnsi"/>
                <w:sz w:val="22"/>
                <w:szCs w:val="22"/>
              </w:rPr>
              <w:t>;</w:t>
            </w:r>
          </w:p>
          <w:p w:rsidR="00D711A6" w:rsidRDefault="00D711A6" w:rsidP="00852ED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Step 2: Clusters which achieve the set metrics for the six month period will receive additional funding for a period of 18 months – those unsuccessful will either need to iterate their concept and pitch again for the initial round of funding or disband. Projects in the second round of research development will be incubated with some administrative support to help establish media linkages, develop a public profile, engage with industry and government, and attract research funding and PhD students. </w:t>
            </w:r>
          </w:p>
          <w:p w:rsidR="00D711A6" w:rsidRPr="00BD4DE9" w:rsidRDefault="00D711A6" w:rsidP="00B64BC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Step 3: Clusters which achieve metrics relating to engagement, output, funding and self-sufficiency will then be evaluated with a view to becoming Faculty Centres for Research or be incorporated into existing Centres. </w:t>
            </w:r>
          </w:p>
        </w:tc>
      </w:tr>
      <w:tr w:rsidR="00D711A6" w:rsidTr="00036130">
        <w:tc>
          <w:tcPr>
            <w:tcW w:w="636"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t>8</w:t>
            </w:r>
          </w:p>
        </w:tc>
        <w:tc>
          <w:tcPr>
            <w:tcW w:w="2911"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Increase the funding allocated to supporting the research agenda of the Faculty. </w:t>
            </w:r>
          </w:p>
        </w:tc>
        <w:tc>
          <w:tcPr>
            <w:tcW w:w="1800" w:type="dxa"/>
          </w:tcPr>
          <w:p w:rsidR="00D711A6" w:rsidRPr="00794C73" w:rsidRDefault="00CA30DE" w:rsidP="00852EDB">
            <w:pPr>
              <w:rPr>
                <w:rFonts w:asciiTheme="minorHAnsi" w:hAnsiTheme="minorHAnsi" w:cstheme="minorHAnsi"/>
                <w:sz w:val="22"/>
                <w:szCs w:val="22"/>
              </w:rPr>
            </w:pPr>
            <w:r>
              <w:rPr>
                <w:rFonts w:asciiTheme="minorHAnsi" w:hAnsiTheme="minorHAnsi" w:cstheme="minorHAnsi"/>
                <w:sz w:val="22"/>
                <w:szCs w:val="22"/>
              </w:rPr>
              <w:t>Executive Dean</w:t>
            </w:r>
          </w:p>
        </w:tc>
        <w:tc>
          <w:tcPr>
            <w:tcW w:w="8511" w:type="dxa"/>
          </w:tcPr>
          <w:p w:rsidR="00A07D49" w:rsidRPr="00794C73" w:rsidRDefault="00A07D49" w:rsidP="00BD4DE9">
            <w:pPr>
              <w:rPr>
                <w:rFonts w:asciiTheme="minorHAnsi" w:hAnsiTheme="minorHAnsi" w:cstheme="minorHAnsi"/>
                <w:sz w:val="22"/>
                <w:szCs w:val="22"/>
              </w:rPr>
            </w:pPr>
            <w:r>
              <w:rPr>
                <w:rFonts w:asciiTheme="minorHAnsi" w:hAnsiTheme="minorHAnsi" w:cstheme="minorHAnsi"/>
                <w:sz w:val="22"/>
                <w:szCs w:val="22"/>
              </w:rPr>
              <w:t>As above Recommendation 4.</w:t>
            </w:r>
          </w:p>
        </w:tc>
      </w:tr>
      <w:tr w:rsidR="00D711A6" w:rsidTr="00036130">
        <w:tc>
          <w:tcPr>
            <w:tcW w:w="636"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t>9</w:t>
            </w:r>
          </w:p>
        </w:tc>
        <w:tc>
          <w:tcPr>
            <w:tcW w:w="2911"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Reposition the three Research Centres as Faculty-based, rather than Departmentally-based. </w:t>
            </w:r>
          </w:p>
        </w:tc>
        <w:tc>
          <w:tcPr>
            <w:tcW w:w="1800" w:type="dxa"/>
          </w:tcPr>
          <w:p w:rsidR="00D711A6" w:rsidRPr="00794C73" w:rsidRDefault="00D711A6" w:rsidP="00852EDB">
            <w:pPr>
              <w:rPr>
                <w:rFonts w:asciiTheme="minorHAnsi" w:hAnsiTheme="minorHAnsi" w:cstheme="minorHAnsi"/>
                <w:sz w:val="22"/>
                <w:szCs w:val="22"/>
              </w:rPr>
            </w:pPr>
            <w:r>
              <w:rPr>
                <w:rFonts w:asciiTheme="minorHAnsi" w:hAnsiTheme="minorHAnsi" w:cstheme="minorHAnsi"/>
                <w:sz w:val="22"/>
                <w:szCs w:val="22"/>
              </w:rPr>
              <w:t>AD Research</w:t>
            </w:r>
          </w:p>
        </w:tc>
        <w:tc>
          <w:tcPr>
            <w:tcW w:w="8511" w:type="dxa"/>
          </w:tcPr>
          <w:p w:rsidR="00D711A6" w:rsidRDefault="00D711A6" w:rsidP="00852EDB">
            <w:pPr>
              <w:rPr>
                <w:rFonts w:asciiTheme="minorHAnsi" w:hAnsiTheme="minorHAnsi" w:cstheme="minorHAnsi"/>
                <w:sz w:val="22"/>
                <w:szCs w:val="22"/>
              </w:rPr>
            </w:pPr>
            <w:r>
              <w:rPr>
                <w:rFonts w:asciiTheme="minorHAnsi" w:hAnsiTheme="minorHAnsi" w:cstheme="minorHAnsi"/>
                <w:sz w:val="22"/>
                <w:szCs w:val="22"/>
              </w:rPr>
              <w:t>Retain the current setup and position of the Research Centres within Departments in 2014.</w:t>
            </w:r>
          </w:p>
          <w:p w:rsidR="00D711A6" w:rsidRDefault="00D711A6" w:rsidP="00852EDB">
            <w:pPr>
              <w:rPr>
                <w:rFonts w:asciiTheme="minorHAnsi" w:hAnsiTheme="minorHAnsi" w:cstheme="minorHAnsi"/>
                <w:sz w:val="22"/>
                <w:szCs w:val="22"/>
              </w:rPr>
            </w:pPr>
          </w:p>
          <w:p w:rsidR="00D711A6" w:rsidRPr="00794C73" w:rsidRDefault="00D711A6" w:rsidP="00EC4FE8">
            <w:pPr>
              <w:rPr>
                <w:rFonts w:asciiTheme="minorHAnsi" w:hAnsiTheme="minorHAnsi" w:cstheme="minorHAnsi"/>
                <w:sz w:val="22"/>
                <w:szCs w:val="22"/>
              </w:rPr>
            </w:pPr>
            <w:r>
              <w:rPr>
                <w:rFonts w:asciiTheme="minorHAnsi" w:hAnsiTheme="minorHAnsi" w:cstheme="minorHAnsi"/>
                <w:sz w:val="22"/>
                <w:szCs w:val="22"/>
              </w:rPr>
              <w:t xml:space="preserve">Transition Research Centres to a new more independent status in 2015 wherein they will be required to generate sustaining revenue and broaden their activities, for example by hosting conferences and providing industry consulting. </w:t>
            </w:r>
          </w:p>
        </w:tc>
      </w:tr>
    </w:tbl>
    <w:p w:rsidR="00535C75" w:rsidRDefault="00535C75" w:rsidP="00852EDB">
      <w:pPr>
        <w:rPr>
          <w:rFonts w:asciiTheme="minorHAnsi" w:hAnsiTheme="minorHAnsi" w:cstheme="minorHAnsi"/>
          <w:sz w:val="22"/>
          <w:szCs w:val="22"/>
        </w:rPr>
        <w:sectPr w:rsidR="00535C75" w:rsidSect="00036130">
          <w:footerReference w:type="default" r:id="rId10"/>
          <w:pgSz w:w="16839" w:h="11907" w:orient="landscape" w:code="9"/>
          <w:pgMar w:top="1800" w:right="1440" w:bottom="1800" w:left="1440" w:header="708" w:footer="708" w:gutter="0"/>
          <w:cols w:space="708"/>
          <w:docGrid w:linePitch="360"/>
        </w:sect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11"/>
        <w:gridCol w:w="1800"/>
        <w:gridCol w:w="8511"/>
      </w:tblGrid>
      <w:tr w:rsidR="00D711A6" w:rsidTr="00036130">
        <w:tc>
          <w:tcPr>
            <w:tcW w:w="636"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lastRenderedPageBreak/>
              <w:t>10</w:t>
            </w:r>
          </w:p>
        </w:tc>
        <w:tc>
          <w:tcPr>
            <w:tcW w:w="2911"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Reposition, possibly by combining, the roles of the Associate Dean Higher Degree Research (HDR) and of the Associate Dean Research in order to better align areas of research focus. </w:t>
            </w:r>
          </w:p>
        </w:tc>
        <w:tc>
          <w:tcPr>
            <w:tcW w:w="1800" w:type="dxa"/>
          </w:tcPr>
          <w:p w:rsidR="00D711A6" w:rsidRPr="00794C73" w:rsidRDefault="00D711A6" w:rsidP="00852EDB">
            <w:pPr>
              <w:rPr>
                <w:rFonts w:asciiTheme="minorHAnsi" w:hAnsiTheme="minorHAnsi" w:cstheme="minorHAnsi"/>
                <w:sz w:val="22"/>
                <w:szCs w:val="22"/>
              </w:rPr>
            </w:pPr>
            <w:r>
              <w:rPr>
                <w:rFonts w:asciiTheme="minorHAnsi" w:hAnsiTheme="minorHAnsi" w:cstheme="minorHAnsi"/>
                <w:sz w:val="22"/>
                <w:szCs w:val="22"/>
              </w:rPr>
              <w:t>AD Research, AD HDR</w:t>
            </w:r>
          </w:p>
        </w:tc>
        <w:tc>
          <w:tcPr>
            <w:tcW w:w="8511" w:type="dxa"/>
          </w:tcPr>
          <w:p w:rsidR="00D711A6" w:rsidRPr="00794C73" w:rsidRDefault="00D711A6" w:rsidP="00A07D49">
            <w:pPr>
              <w:rPr>
                <w:rFonts w:asciiTheme="minorHAnsi" w:hAnsiTheme="minorHAnsi" w:cstheme="minorHAnsi"/>
                <w:sz w:val="22"/>
                <w:szCs w:val="22"/>
              </w:rPr>
            </w:pPr>
            <w:r w:rsidRPr="00CB1679">
              <w:rPr>
                <w:rFonts w:asciiTheme="minorHAnsi" w:hAnsiTheme="minorHAnsi" w:cstheme="minorHAnsi"/>
                <w:sz w:val="22"/>
                <w:szCs w:val="22"/>
              </w:rPr>
              <w:t xml:space="preserve">This recommendation was not supported by </w:t>
            </w:r>
            <w:r>
              <w:rPr>
                <w:rFonts w:asciiTheme="minorHAnsi" w:hAnsiTheme="minorHAnsi" w:cstheme="minorHAnsi"/>
                <w:sz w:val="22"/>
                <w:szCs w:val="22"/>
              </w:rPr>
              <w:t xml:space="preserve">the Faculty as the </w:t>
            </w:r>
            <w:r w:rsidRPr="00CB1679">
              <w:rPr>
                <w:rFonts w:asciiTheme="minorHAnsi" w:hAnsiTheme="minorHAnsi" w:cstheme="minorHAnsi"/>
                <w:sz w:val="22"/>
                <w:szCs w:val="22"/>
              </w:rPr>
              <w:t xml:space="preserve">roles </w:t>
            </w:r>
            <w:r>
              <w:rPr>
                <w:rFonts w:asciiTheme="minorHAnsi" w:hAnsiTheme="minorHAnsi" w:cstheme="minorHAnsi"/>
                <w:sz w:val="22"/>
                <w:szCs w:val="22"/>
              </w:rPr>
              <w:t xml:space="preserve">were deemed to be </w:t>
            </w:r>
            <w:r w:rsidRPr="00CB1679">
              <w:rPr>
                <w:rFonts w:asciiTheme="minorHAnsi" w:hAnsiTheme="minorHAnsi" w:cstheme="minorHAnsi"/>
                <w:sz w:val="22"/>
                <w:szCs w:val="22"/>
              </w:rPr>
              <w:t xml:space="preserve">too large and </w:t>
            </w:r>
            <w:r>
              <w:rPr>
                <w:rFonts w:asciiTheme="minorHAnsi" w:hAnsiTheme="minorHAnsi" w:cstheme="minorHAnsi"/>
                <w:sz w:val="22"/>
                <w:szCs w:val="22"/>
              </w:rPr>
              <w:t xml:space="preserve">strategically important </w:t>
            </w:r>
            <w:r w:rsidRPr="00CB1679">
              <w:rPr>
                <w:rFonts w:asciiTheme="minorHAnsi" w:hAnsiTheme="minorHAnsi" w:cstheme="minorHAnsi"/>
                <w:sz w:val="22"/>
                <w:szCs w:val="22"/>
              </w:rPr>
              <w:t xml:space="preserve">to be managed by one person. </w:t>
            </w:r>
            <w:r>
              <w:rPr>
                <w:rFonts w:asciiTheme="minorHAnsi" w:hAnsiTheme="minorHAnsi" w:cstheme="minorHAnsi"/>
                <w:sz w:val="22"/>
                <w:szCs w:val="22"/>
              </w:rPr>
              <w:t xml:space="preserve">The Faculty will explore options for the possible combining </w:t>
            </w:r>
            <w:r w:rsidR="00A07D49">
              <w:rPr>
                <w:rFonts w:asciiTheme="minorHAnsi" w:hAnsiTheme="minorHAnsi" w:cstheme="minorHAnsi"/>
                <w:sz w:val="22"/>
                <w:szCs w:val="22"/>
              </w:rPr>
              <w:t xml:space="preserve">the </w:t>
            </w:r>
            <w:r>
              <w:rPr>
                <w:rFonts w:asciiTheme="minorHAnsi" w:hAnsiTheme="minorHAnsi" w:cstheme="minorHAnsi"/>
                <w:sz w:val="22"/>
                <w:szCs w:val="22"/>
              </w:rPr>
              <w:t>administrative and support activities relating to HDR and Research</w:t>
            </w:r>
            <w:r w:rsidR="00A07D49">
              <w:rPr>
                <w:rFonts w:asciiTheme="minorHAnsi" w:hAnsiTheme="minorHAnsi" w:cstheme="minorHAnsi"/>
                <w:sz w:val="22"/>
                <w:szCs w:val="22"/>
              </w:rPr>
              <w:t xml:space="preserve"> and examining the HDR load</w:t>
            </w:r>
            <w:r>
              <w:rPr>
                <w:rFonts w:asciiTheme="minorHAnsi" w:hAnsiTheme="minorHAnsi" w:cstheme="minorHAnsi"/>
                <w:sz w:val="22"/>
                <w:szCs w:val="22"/>
              </w:rPr>
              <w:t xml:space="preserve">. </w:t>
            </w:r>
          </w:p>
        </w:tc>
      </w:tr>
    </w:tbl>
    <w:p w:rsidR="0031616C" w:rsidRDefault="0031616C">
      <w:pPr>
        <w:rPr>
          <w:rFonts w:ascii="Arial" w:hAnsi="Arial" w:cs="Arial"/>
          <w:b/>
          <w:bCs/>
          <w:sz w:val="26"/>
          <w:szCs w:val="26"/>
        </w:rPr>
      </w:pPr>
    </w:p>
    <w:p w:rsidR="0063693E" w:rsidRDefault="00794C73" w:rsidP="0063693E">
      <w:pPr>
        <w:pStyle w:val="Heading3"/>
        <w:numPr>
          <w:ilvl w:val="0"/>
          <w:numId w:val="1"/>
        </w:numPr>
      </w:pPr>
      <w:r>
        <w:t>Research Training</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736"/>
        <w:gridCol w:w="1800"/>
        <w:gridCol w:w="8736"/>
      </w:tblGrid>
      <w:tr w:rsidR="00D711A6" w:rsidTr="00036130">
        <w:tc>
          <w:tcPr>
            <w:tcW w:w="586" w:type="dxa"/>
          </w:tcPr>
          <w:p w:rsidR="00D711A6" w:rsidRPr="00CF76E7" w:rsidRDefault="00D711A6" w:rsidP="00654044">
            <w:pPr>
              <w:jc w:val="center"/>
              <w:rPr>
                <w:rFonts w:asciiTheme="minorHAnsi" w:hAnsiTheme="minorHAnsi" w:cstheme="minorHAnsi"/>
                <w:b/>
                <w:sz w:val="20"/>
                <w:szCs w:val="20"/>
              </w:rPr>
            </w:pPr>
            <w:r w:rsidRPr="00CF76E7">
              <w:rPr>
                <w:rFonts w:asciiTheme="minorHAnsi" w:hAnsiTheme="minorHAnsi" w:cstheme="minorHAnsi"/>
                <w:b/>
                <w:sz w:val="20"/>
                <w:szCs w:val="20"/>
              </w:rPr>
              <w:t>Rec No.</w:t>
            </w:r>
          </w:p>
        </w:tc>
        <w:tc>
          <w:tcPr>
            <w:tcW w:w="2736" w:type="dxa"/>
          </w:tcPr>
          <w:p w:rsidR="00D711A6" w:rsidRPr="00CF76E7" w:rsidRDefault="00D711A6" w:rsidP="00654044">
            <w:pPr>
              <w:jc w:val="center"/>
              <w:rPr>
                <w:rFonts w:asciiTheme="minorHAnsi" w:hAnsiTheme="minorHAnsi" w:cstheme="minorHAnsi"/>
                <w:b/>
                <w:sz w:val="20"/>
                <w:szCs w:val="20"/>
              </w:rPr>
            </w:pPr>
            <w:r w:rsidRPr="00CF76E7">
              <w:rPr>
                <w:rFonts w:asciiTheme="minorHAnsi" w:hAnsiTheme="minorHAnsi" w:cstheme="minorHAnsi"/>
                <w:b/>
                <w:sz w:val="20"/>
                <w:szCs w:val="20"/>
              </w:rPr>
              <w:t>Recommendation</w:t>
            </w:r>
          </w:p>
        </w:tc>
        <w:tc>
          <w:tcPr>
            <w:tcW w:w="1800"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Responsibility</w:t>
            </w:r>
          </w:p>
        </w:tc>
        <w:tc>
          <w:tcPr>
            <w:tcW w:w="8736"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Response and Status</w:t>
            </w:r>
          </w:p>
        </w:tc>
      </w:tr>
      <w:tr w:rsidR="00D711A6" w:rsidTr="00036130">
        <w:tc>
          <w:tcPr>
            <w:tcW w:w="586" w:type="dxa"/>
          </w:tcPr>
          <w:p w:rsidR="00D711A6" w:rsidRPr="00CF76E7" w:rsidRDefault="00D711A6" w:rsidP="00852EDB">
            <w:pPr>
              <w:rPr>
                <w:rFonts w:asciiTheme="minorHAnsi" w:hAnsiTheme="minorHAnsi" w:cstheme="minorHAnsi"/>
                <w:sz w:val="22"/>
                <w:szCs w:val="22"/>
              </w:rPr>
            </w:pPr>
            <w:r w:rsidRPr="00CF76E7">
              <w:rPr>
                <w:rFonts w:asciiTheme="minorHAnsi" w:hAnsiTheme="minorHAnsi" w:cstheme="minorHAnsi"/>
                <w:sz w:val="22"/>
                <w:szCs w:val="22"/>
              </w:rPr>
              <w:t>11</w:t>
            </w:r>
          </w:p>
        </w:tc>
        <w:tc>
          <w:tcPr>
            <w:tcW w:w="2736" w:type="dxa"/>
          </w:tcPr>
          <w:p w:rsidR="00D711A6" w:rsidRPr="00CF76E7" w:rsidRDefault="00D711A6" w:rsidP="00794C73">
            <w:pPr>
              <w:pStyle w:val="Default"/>
              <w:rPr>
                <w:rFonts w:asciiTheme="minorHAnsi" w:hAnsiTheme="minorHAnsi" w:cstheme="minorHAnsi"/>
                <w:sz w:val="22"/>
                <w:szCs w:val="22"/>
              </w:rPr>
            </w:pPr>
            <w:r w:rsidRPr="00CF76E7">
              <w:rPr>
                <w:rFonts w:asciiTheme="minorHAnsi" w:hAnsiTheme="minorHAnsi" w:cstheme="minorHAnsi"/>
                <w:sz w:val="22"/>
                <w:szCs w:val="22"/>
              </w:rPr>
              <w:t xml:space="preserve">Increase the supervisory capacity of the Faculty in order to accommodate continued growth in the HDR program. </w:t>
            </w:r>
          </w:p>
        </w:tc>
        <w:tc>
          <w:tcPr>
            <w:tcW w:w="1800" w:type="dxa"/>
          </w:tcPr>
          <w:p w:rsidR="00D711A6" w:rsidRPr="003E6FE0" w:rsidRDefault="00D711A6" w:rsidP="00852EDB">
            <w:pPr>
              <w:rPr>
                <w:rFonts w:asciiTheme="minorHAnsi" w:hAnsiTheme="minorHAnsi" w:cstheme="minorHAnsi"/>
                <w:sz w:val="22"/>
                <w:szCs w:val="22"/>
              </w:rPr>
            </w:pPr>
            <w:r>
              <w:rPr>
                <w:rFonts w:asciiTheme="minorHAnsi" w:hAnsiTheme="minorHAnsi" w:cstheme="minorHAnsi"/>
                <w:sz w:val="22"/>
                <w:szCs w:val="22"/>
              </w:rPr>
              <w:t>AD HDR</w:t>
            </w:r>
          </w:p>
        </w:tc>
        <w:tc>
          <w:tcPr>
            <w:tcW w:w="8736" w:type="dxa"/>
          </w:tcPr>
          <w:p w:rsidR="007373BD" w:rsidRDefault="007373BD" w:rsidP="00556BC8">
            <w:pPr>
              <w:rPr>
                <w:rFonts w:asciiTheme="minorHAnsi" w:hAnsiTheme="minorHAnsi" w:cstheme="minorHAnsi"/>
                <w:sz w:val="22"/>
                <w:szCs w:val="22"/>
              </w:rPr>
            </w:pPr>
            <w:r>
              <w:rPr>
                <w:rFonts w:asciiTheme="minorHAnsi" w:hAnsiTheme="minorHAnsi" w:cstheme="minorHAnsi"/>
                <w:sz w:val="22"/>
                <w:szCs w:val="22"/>
              </w:rPr>
              <w:t>Review existing workload policy to optimise supervisory capacity.</w:t>
            </w:r>
          </w:p>
          <w:p w:rsidR="007373BD" w:rsidRDefault="007373BD" w:rsidP="00556BC8">
            <w:pPr>
              <w:rPr>
                <w:rFonts w:asciiTheme="minorHAnsi" w:hAnsiTheme="minorHAnsi" w:cstheme="minorHAnsi"/>
                <w:sz w:val="22"/>
                <w:szCs w:val="22"/>
              </w:rPr>
            </w:pPr>
          </w:p>
          <w:p w:rsidR="007373BD" w:rsidRPr="003E6FE0" w:rsidRDefault="007373BD" w:rsidP="00556BC8">
            <w:pPr>
              <w:rPr>
                <w:rFonts w:asciiTheme="minorHAnsi" w:hAnsiTheme="minorHAnsi" w:cstheme="minorHAnsi"/>
                <w:sz w:val="22"/>
                <w:szCs w:val="22"/>
              </w:rPr>
            </w:pPr>
            <w:r>
              <w:rPr>
                <w:rFonts w:asciiTheme="minorHAnsi" w:hAnsiTheme="minorHAnsi" w:cstheme="minorHAnsi"/>
                <w:sz w:val="22"/>
                <w:szCs w:val="22"/>
              </w:rPr>
              <w:t>Increase supervisory capacity through recruitment of appropriate qualified supervisory personnel</w:t>
            </w:r>
            <w:r w:rsidR="00A07D49">
              <w:rPr>
                <w:rFonts w:asciiTheme="minorHAnsi" w:hAnsiTheme="minorHAnsi" w:cstheme="minorHAnsi"/>
                <w:sz w:val="22"/>
                <w:szCs w:val="22"/>
              </w:rPr>
              <w:t xml:space="preserve"> and adjustments to workload and RA definition.</w:t>
            </w:r>
          </w:p>
        </w:tc>
      </w:tr>
    </w:tbl>
    <w:p w:rsidR="0031616C" w:rsidRDefault="0031616C">
      <w:pPr>
        <w:rPr>
          <w:rFonts w:ascii="Arial" w:hAnsi="Arial" w:cs="Arial"/>
          <w:b/>
          <w:bCs/>
          <w:sz w:val="26"/>
          <w:szCs w:val="26"/>
        </w:rPr>
      </w:pPr>
    </w:p>
    <w:p w:rsidR="0063693E" w:rsidRDefault="00794C73" w:rsidP="0063693E">
      <w:pPr>
        <w:pStyle w:val="Heading3"/>
        <w:numPr>
          <w:ilvl w:val="0"/>
          <w:numId w:val="1"/>
        </w:numPr>
      </w:pPr>
      <w:r>
        <w:t>Staff and Student Profile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909"/>
        <w:gridCol w:w="1800"/>
        <w:gridCol w:w="8514"/>
      </w:tblGrid>
      <w:tr w:rsidR="00D711A6" w:rsidTr="00036130">
        <w:tc>
          <w:tcPr>
            <w:tcW w:w="635"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Rec No.</w:t>
            </w:r>
          </w:p>
        </w:tc>
        <w:tc>
          <w:tcPr>
            <w:tcW w:w="2909"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Recommendation</w:t>
            </w:r>
          </w:p>
        </w:tc>
        <w:tc>
          <w:tcPr>
            <w:tcW w:w="1800"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Responsibility</w:t>
            </w:r>
          </w:p>
        </w:tc>
        <w:tc>
          <w:tcPr>
            <w:tcW w:w="8514" w:type="dxa"/>
          </w:tcPr>
          <w:p w:rsidR="00D711A6" w:rsidRPr="00654044" w:rsidRDefault="00D711A6" w:rsidP="00654044">
            <w:pPr>
              <w:jc w:val="center"/>
              <w:rPr>
                <w:rFonts w:ascii="Verdana" w:hAnsi="Verdana"/>
                <w:b/>
                <w:sz w:val="20"/>
                <w:szCs w:val="20"/>
              </w:rPr>
            </w:pPr>
            <w:r w:rsidRPr="00654044">
              <w:rPr>
                <w:rFonts w:ascii="Verdana" w:hAnsi="Verdana"/>
                <w:b/>
                <w:sz w:val="20"/>
                <w:szCs w:val="20"/>
              </w:rPr>
              <w:t>Response and Status</w:t>
            </w:r>
          </w:p>
        </w:tc>
      </w:tr>
      <w:tr w:rsidR="00D711A6" w:rsidTr="00036130">
        <w:tc>
          <w:tcPr>
            <w:tcW w:w="635"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t>12</w:t>
            </w:r>
          </w:p>
        </w:tc>
        <w:tc>
          <w:tcPr>
            <w:tcW w:w="2909"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Commence a recruitment strategy to prepare for the ageing staff profile of the Faculty which will impact in the coming years. </w:t>
            </w:r>
          </w:p>
        </w:tc>
        <w:tc>
          <w:tcPr>
            <w:tcW w:w="1800" w:type="dxa"/>
          </w:tcPr>
          <w:p w:rsidR="00D711A6" w:rsidRPr="00794C73" w:rsidRDefault="00D711A6" w:rsidP="00852EDB">
            <w:pPr>
              <w:rPr>
                <w:rFonts w:asciiTheme="minorHAnsi" w:hAnsiTheme="minorHAnsi" w:cstheme="minorHAnsi"/>
                <w:sz w:val="22"/>
                <w:szCs w:val="22"/>
              </w:rPr>
            </w:pPr>
            <w:r>
              <w:rPr>
                <w:rFonts w:asciiTheme="minorHAnsi" w:hAnsiTheme="minorHAnsi" w:cstheme="minorHAnsi"/>
                <w:sz w:val="22"/>
                <w:szCs w:val="22"/>
              </w:rPr>
              <w:t>Executive Dean</w:t>
            </w:r>
          </w:p>
        </w:tc>
        <w:tc>
          <w:tcPr>
            <w:tcW w:w="8514" w:type="dxa"/>
          </w:tcPr>
          <w:p w:rsidR="00D711A6" w:rsidRDefault="00D711A6" w:rsidP="00852EDB">
            <w:pPr>
              <w:rPr>
                <w:rFonts w:asciiTheme="minorHAnsi" w:hAnsiTheme="minorHAnsi" w:cstheme="minorHAnsi"/>
                <w:sz w:val="22"/>
                <w:szCs w:val="22"/>
              </w:rPr>
            </w:pPr>
            <w:r w:rsidRPr="00A45D1F">
              <w:rPr>
                <w:rFonts w:asciiTheme="minorHAnsi" w:hAnsiTheme="minorHAnsi" w:cstheme="minorHAnsi"/>
                <w:sz w:val="22"/>
                <w:szCs w:val="22"/>
              </w:rPr>
              <w:t>Develop</w:t>
            </w:r>
            <w:r>
              <w:rPr>
                <w:rFonts w:asciiTheme="minorHAnsi" w:hAnsiTheme="minorHAnsi" w:cstheme="minorHAnsi"/>
                <w:sz w:val="22"/>
                <w:szCs w:val="22"/>
              </w:rPr>
              <w:t xml:space="preserve"> a new </w:t>
            </w:r>
            <w:r w:rsidR="00A07D49">
              <w:rPr>
                <w:rFonts w:asciiTheme="minorHAnsi" w:hAnsiTheme="minorHAnsi" w:cstheme="minorHAnsi"/>
                <w:sz w:val="22"/>
                <w:szCs w:val="22"/>
              </w:rPr>
              <w:t xml:space="preserve">categories </w:t>
            </w:r>
            <w:r>
              <w:rPr>
                <w:rFonts w:asciiTheme="minorHAnsi" w:hAnsiTheme="minorHAnsi" w:cstheme="minorHAnsi"/>
                <w:sz w:val="22"/>
                <w:szCs w:val="22"/>
              </w:rPr>
              <w:t>of position</w:t>
            </w:r>
            <w:r w:rsidR="00A07D49">
              <w:rPr>
                <w:rFonts w:asciiTheme="minorHAnsi" w:hAnsiTheme="minorHAnsi" w:cstheme="minorHAnsi"/>
                <w:sz w:val="22"/>
                <w:szCs w:val="22"/>
              </w:rPr>
              <w:t>s</w:t>
            </w:r>
            <w:r>
              <w:rPr>
                <w:rFonts w:asciiTheme="minorHAnsi" w:hAnsiTheme="minorHAnsi" w:cstheme="minorHAnsi"/>
                <w:sz w:val="22"/>
                <w:szCs w:val="22"/>
              </w:rPr>
              <w:t xml:space="preserve"> (e.g. Honorary Fellow)</w:t>
            </w:r>
            <w:r w:rsidR="00A07D49">
              <w:rPr>
                <w:rFonts w:asciiTheme="minorHAnsi" w:hAnsiTheme="minorHAnsi" w:cstheme="minorHAnsi"/>
                <w:sz w:val="22"/>
                <w:szCs w:val="22"/>
              </w:rPr>
              <w:t xml:space="preserve"> consistent with University review</w:t>
            </w:r>
            <w:r>
              <w:rPr>
                <w:rFonts w:asciiTheme="minorHAnsi" w:hAnsiTheme="minorHAnsi" w:cstheme="minorHAnsi"/>
                <w:sz w:val="22"/>
                <w:szCs w:val="22"/>
              </w:rPr>
              <w:t xml:space="preserve"> that will enable FBE to maintain a working connection between itself and retired academics who may elect to still do some low load research and teaching during their retirement. </w:t>
            </w:r>
          </w:p>
          <w:p w:rsidR="00D711A6" w:rsidRDefault="00D711A6" w:rsidP="00852EDB">
            <w:pPr>
              <w:rPr>
                <w:rFonts w:asciiTheme="minorHAnsi" w:hAnsiTheme="minorHAnsi" w:cstheme="minorHAnsi"/>
                <w:sz w:val="22"/>
                <w:szCs w:val="22"/>
              </w:rPr>
            </w:pPr>
          </w:p>
          <w:p w:rsidR="00D711A6" w:rsidRPr="00794C73" w:rsidRDefault="00D711A6" w:rsidP="00556BC8">
            <w:pPr>
              <w:rPr>
                <w:rFonts w:asciiTheme="minorHAnsi" w:hAnsiTheme="minorHAnsi" w:cstheme="minorHAnsi"/>
                <w:sz w:val="22"/>
                <w:szCs w:val="22"/>
              </w:rPr>
            </w:pPr>
            <w:r>
              <w:rPr>
                <w:rFonts w:asciiTheme="minorHAnsi" w:hAnsiTheme="minorHAnsi" w:cstheme="minorHAnsi"/>
                <w:sz w:val="22"/>
                <w:szCs w:val="22"/>
              </w:rPr>
              <w:t xml:space="preserve">Deploy cost savings from these roles </w:t>
            </w:r>
            <w:r w:rsidR="00556BC8">
              <w:rPr>
                <w:rFonts w:asciiTheme="minorHAnsi" w:hAnsiTheme="minorHAnsi" w:cstheme="minorHAnsi"/>
                <w:sz w:val="22"/>
                <w:szCs w:val="22"/>
              </w:rPr>
              <w:t>to recruit</w:t>
            </w:r>
            <w:r>
              <w:rPr>
                <w:rFonts w:asciiTheme="minorHAnsi" w:hAnsiTheme="minorHAnsi" w:cstheme="minorHAnsi"/>
                <w:sz w:val="22"/>
                <w:szCs w:val="22"/>
              </w:rPr>
              <w:t xml:space="preserve"> less experienced academics.</w:t>
            </w:r>
          </w:p>
        </w:tc>
      </w:tr>
      <w:tr w:rsidR="00D711A6" w:rsidTr="00036130">
        <w:tc>
          <w:tcPr>
            <w:tcW w:w="635"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t>13</w:t>
            </w:r>
          </w:p>
        </w:tc>
        <w:tc>
          <w:tcPr>
            <w:tcW w:w="2909"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Improve the quality control of teaching standards among </w:t>
            </w:r>
            <w:r w:rsidRPr="00794C73">
              <w:rPr>
                <w:rFonts w:asciiTheme="minorHAnsi" w:hAnsiTheme="minorHAnsi"/>
                <w:sz w:val="22"/>
                <w:szCs w:val="22"/>
              </w:rPr>
              <w:lastRenderedPageBreak/>
              <w:t xml:space="preserve">casual and sessional staff. </w:t>
            </w:r>
          </w:p>
        </w:tc>
        <w:tc>
          <w:tcPr>
            <w:tcW w:w="1800" w:type="dxa"/>
          </w:tcPr>
          <w:p w:rsidR="00D711A6" w:rsidRPr="00794C73" w:rsidRDefault="00D711A6" w:rsidP="00852EDB">
            <w:pPr>
              <w:rPr>
                <w:rFonts w:asciiTheme="minorHAnsi" w:hAnsiTheme="minorHAnsi" w:cstheme="minorHAnsi"/>
                <w:sz w:val="22"/>
                <w:szCs w:val="22"/>
              </w:rPr>
            </w:pPr>
            <w:r>
              <w:rPr>
                <w:rFonts w:asciiTheme="minorHAnsi" w:hAnsiTheme="minorHAnsi" w:cstheme="minorHAnsi"/>
                <w:sz w:val="22"/>
                <w:szCs w:val="22"/>
              </w:rPr>
              <w:lastRenderedPageBreak/>
              <w:t>FGM</w:t>
            </w:r>
          </w:p>
        </w:tc>
        <w:tc>
          <w:tcPr>
            <w:tcW w:w="8514" w:type="dxa"/>
          </w:tcPr>
          <w:p w:rsidR="00D711A6" w:rsidRDefault="00D711A6" w:rsidP="00852EDB">
            <w:pPr>
              <w:rPr>
                <w:rFonts w:asciiTheme="minorHAnsi" w:hAnsiTheme="minorHAnsi" w:cstheme="minorHAnsi"/>
                <w:sz w:val="22"/>
                <w:szCs w:val="22"/>
              </w:rPr>
            </w:pPr>
            <w:r>
              <w:rPr>
                <w:rFonts w:asciiTheme="minorHAnsi" w:hAnsiTheme="minorHAnsi" w:cstheme="minorHAnsi"/>
                <w:sz w:val="22"/>
                <w:szCs w:val="22"/>
              </w:rPr>
              <w:t>Deploy the Sessional Academic Staff Unit (SASU) in 2014 to improve these standards.</w:t>
            </w:r>
          </w:p>
          <w:p w:rsidR="00D711A6" w:rsidRDefault="00D711A6" w:rsidP="00852EDB">
            <w:pPr>
              <w:rPr>
                <w:rFonts w:asciiTheme="minorHAnsi" w:hAnsiTheme="minorHAnsi" w:cstheme="minorHAnsi"/>
                <w:sz w:val="22"/>
                <w:szCs w:val="22"/>
              </w:rPr>
            </w:pPr>
          </w:p>
          <w:p w:rsidR="00D711A6" w:rsidRPr="00794C73" w:rsidRDefault="00D711A6" w:rsidP="00B34FD7">
            <w:pPr>
              <w:rPr>
                <w:rFonts w:asciiTheme="minorHAnsi" w:hAnsiTheme="minorHAnsi" w:cstheme="minorHAnsi"/>
                <w:sz w:val="22"/>
                <w:szCs w:val="22"/>
              </w:rPr>
            </w:pPr>
            <w:r w:rsidRPr="00036130">
              <w:rPr>
                <w:rFonts w:asciiTheme="minorHAnsi" w:hAnsiTheme="minorHAnsi" w:cstheme="minorHAnsi"/>
                <w:sz w:val="22"/>
                <w:szCs w:val="22"/>
              </w:rPr>
              <w:lastRenderedPageBreak/>
              <w:t xml:space="preserve">Apply FBE’s </w:t>
            </w:r>
            <w:r w:rsidR="00A07D49">
              <w:rPr>
                <w:rFonts w:asciiTheme="minorHAnsi" w:hAnsiTheme="minorHAnsi" w:cstheme="minorHAnsi"/>
                <w:sz w:val="22"/>
                <w:szCs w:val="22"/>
              </w:rPr>
              <w:t xml:space="preserve">AACSB </w:t>
            </w:r>
            <w:r w:rsidRPr="00036130">
              <w:rPr>
                <w:rFonts w:asciiTheme="minorHAnsi" w:hAnsiTheme="minorHAnsi" w:cstheme="minorHAnsi"/>
                <w:sz w:val="22"/>
                <w:szCs w:val="22"/>
              </w:rPr>
              <w:t xml:space="preserve">qualification standards and classifications to the employment of all </w:t>
            </w:r>
            <w:r w:rsidR="00A07D49">
              <w:rPr>
                <w:rFonts w:asciiTheme="minorHAnsi" w:hAnsiTheme="minorHAnsi" w:cstheme="minorHAnsi"/>
                <w:sz w:val="22"/>
                <w:szCs w:val="22"/>
              </w:rPr>
              <w:t xml:space="preserve">academic teaching </w:t>
            </w:r>
            <w:r w:rsidRPr="00036130">
              <w:rPr>
                <w:rFonts w:asciiTheme="minorHAnsi" w:hAnsiTheme="minorHAnsi" w:cstheme="minorHAnsi"/>
                <w:sz w:val="22"/>
                <w:szCs w:val="22"/>
              </w:rPr>
              <w:t>staff.</w:t>
            </w:r>
          </w:p>
        </w:tc>
      </w:tr>
      <w:tr w:rsidR="00D711A6" w:rsidTr="00036130">
        <w:tc>
          <w:tcPr>
            <w:tcW w:w="635" w:type="dxa"/>
          </w:tcPr>
          <w:p w:rsidR="00D711A6" w:rsidRPr="00794C73" w:rsidRDefault="00D711A6" w:rsidP="00852EDB">
            <w:pPr>
              <w:rPr>
                <w:rFonts w:asciiTheme="minorHAnsi" w:hAnsiTheme="minorHAnsi" w:cstheme="minorHAnsi"/>
                <w:sz w:val="22"/>
                <w:szCs w:val="22"/>
              </w:rPr>
            </w:pPr>
            <w:r w:rsidRPr="00794C73">
              <w:rPr>
                <w:rFonts w:asciiTheme="minorHAnsi" w:hAnsiTheme="minorHAnsi" w:cstheme="minorHAnsi"/>
                <w:sz w:val="22"/>
                <w:szCs w:val="22"/>
              </w:rPr>
              <w:lastRenderedPageBreak/>
              <w:t>14</w:t>
            </w:r>
          </w:p>
        </w:tc>
        <w:tc>
          <w:tcPr>
            <w:tcW w:w="2909" w:type="dxa"/>
          </w:tcPr>
          <w:p w:rsidR="00D711A6" w:rsidRPr="00794C73" w:rsidRDefault="00D711A6" w:rsidP="00794C73">
            <w:pPr>
              <w:pStyle w:val="Default"/>
              <w:rPr>
                <w:rFonts w:asciiTheme="minorHAnsi" w:hAnsiTheme="minorHAnsi"/>
                <w:sz w:val="22"/>
                <w:szCs w:val="22"/>
              </w:rPr>
            </w:pPr>
            <w:r w:rsidRPr="00794C73">
              <w:rPr>
                <w:rFonts w:asciiTheme="minorHAnsi" w:hAnsiTheme="minorHAnsi"/>
                <w:sz w:val="22"/>
                <w:szCs w:val="22"/>
              </w:rPr>
              <w:t xml:space="preserve">Reduce the risk associated with the Faculty’s high reliance on Chinese international students by diversifying the sources of recruitment of international students across the university. </w:t>
            </w:r>
          </w:p>
        </w:tc>
        <w:tc>
          <w:tcPr>
            <w:tcW w:w="1800" w:type="dxa"/>
          </w:tcPr>
          <w:p w:rsidR="00D711A6" w:rsidRPr="00794C73" w:rsidRDefault="00D711A6" w:rsidP="00852EDB">
            <w:pPr>
              <w:rPr>
                <w:rFonts w:asciiTheme="minorHAnsi" w:hAnsiTheme="minorHAnsi" w:cstheme="minorHAnsi"/>
                <w:sz w:val="22"/>
                <w:szCs w:val="22"/>
              </w:rPr>
            </w:pPr>
            <w:r>
              <w:rPr>
                <w:rFonts w:asciiTheme="minorHAnsi" w:hAnsiTheme="minorHAnsi" w:cstheme="minorHAnsi"/>
                <w:sz w:val="22"/>
                <w:szCs w:val="22"/>
              </w:rPr>
              <w:t>Executive Dean</w:t>
            </w:r>
          </w:p>
        </w:tc>
        <w:tc>
          <w:tcPr>
            <w:tcW w:w="8514" w:type="dxa"/>
          </w:tcPr>
          <w:p w:rsidR="00D711A6" w:rsidRDefault="00D711A6" w:rsidP="00852EDB">
            <w:pPr>
              <w:rPr>
                <w:rFonts w:asciiTheme="minorHAnsi" w:hAnsiTheme="minorHAnsi" w:cstheme="minorHAnsi"/>
                <w:sz w:val="22"/>
                <w:szCs w:val="22"/>
              </w:rPr>
            </w:pPr>
            <w:r>
              <w:rPr>
                <w:rFonts w:asciiTheme="minorHAnsi" w:hAnsiTheme="minorHAnsi" w:cstheme="minorHAnsi"/>
                <w:sz w:val="22"/>
                <w:szCs w:val="22"/>
              </w:rPr>
              <w:t xml:space="preserve">Work </w:t>
            </w:r>
            <w:r w:rsidR="00556BC8">
              <w:rPr>
                <w:rFonts w:asciiTheme="minorHAnsi" w:hAnsiTheme="minorHAnsi" w:cstheme="minorHAnsi"/>
                <w:sz w:val="22"/>
                <w:szCs w:val="22"/>
              </w:rPr>
              <w:t>with</w:t>
            </w:r>
            <w:r>
              <w:rPr>
                <w:rFonts w:asciiTheme="minorHAnsi" w:hAnsiTheme="minorHAnsi" w:cstheme="minorHAnsi"/>
                <w:sz w:val="22"/>
                <w:szCs w:val="22"/>
              </w:rPr>
              <w:t xml:space="preserve"> the DVC International to diversify the sources of recruitment of international students. </w:t>
            </w:r>
          </w:p>
          <w:p w:rsidR="00D711A6" w:rsidRDefault="00D711A6" w:rsidP="00852EDB">
            <w:pPr>
              <w:rPr>
                <w:rFonts w:asciiTheme="minorHAnsi" w:hAnsiTheme="minorHAnsi" w:cstheme="minorHAnsi"/>
                <w:sz w:val="22"/>
                <w:szCs w:val="22"/>
              </w:rPr>
            </w:pPr>
          </w:p>
          <w:p w:rsidR="00D711A6" w:rsidRDefault="00D711A6" w:rsidP="00852EDB">
            <w:pPr>
              <w:rPr>
                <w:rFonts w:asciiTheme="minorHAnsi" w:hAnsiTheme="minorHAnsi" w:cstheme="minorHAnsi"/>
                <w:sz w:val="22"/>
                <w:szCs w:val="22"/>
              </w:rPr>
            </w:pPr>
          </w:p>
          <w:p w:rsidR="00D711A6" w:rsidRPr="00794C73" w:rsidRDefault="00D711A6" w:rsidP="00852EDB">
            <w:pPr>
              <w:rPr>
                <w:rFonts w:asciiTheme="minorHAnsi" w:hAnsiTheme="minorHAnsi" w:cstheme="minorHAnsi"/>
                <w:sz w:val="22"/>
                <w:szCs w:val="22"/>
              </w:rPr>
            </w:pPr>
          </w:p>
        </w:tc>
      </w:tr>
    </w:tbl>
    <w:p w:rsidR="00794C73" w:rsidRDefault="00794C73" w:rsidP="00794C73">
      <w:pPr>
        <w:pStyle w:val="Heading3"/>
        <w:numPr>
          <w:ilvl w:val="0"/>
          <w:numId w:val="1"/>
        </w:numPr>
      </w:pPr>
      <w:r>
        <w:t>Community Engagement and Accreditations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928"/>
        <w:gridCol w:w="1800"/>
        <w:gridCol w:w="8495"/>
      </w:tblGrid>
      <w:tr w:rsidR="00556BC8" w:rsidTr="00036130">
        <w:tc>
          <w:tcPr>
            <w:tcW w:w="635" w:type="dxa"/>
          </w:tcPr>
          <w:p w:rsidR="00556BC8" w:rsidRPr="00654044" w:rsidRDefault="00556BC8" w:rsidP="002A26AF">
            <w:pPr>
              <w:jc w:val="center"/>
              <w:rPr>
                <w:rFonts w:ascii="Verdana" w:hAnsi="Verdana"/>
                <w:b/>
                <w:sz w:val="20"/>
                <w:szCs w:val="20"/>
              </w:rPr>
            </w:pPr>
            <w:r w:rsidRPr="00654044">
              <w:rPr>
                <w:rFonts w:ascii="Verdana" w:hAnsi="Verdana"/>
                <w:b/>
                <w:sz w:val="20"/>
                <w:szCs w:val="20"/>
              </w:rPr>
              <w:t>Rec No.</w:t>
            </w:r>
          </w:p>
        </w:tc>
        <w:tc>
          <w:tcPr>
            <w:tcW w:w="2928" w:type="dxa"/>
          </w:tcPr>
          <w:p w:rsidR="00556BC8" w:rsidRPr="00654044" w:rsidRDefault="00556BC8" w:rsidP="002A26AF">
            <w:pPr>
              <w:jc w:val="center"/>
              <w:rPr>
                <w:rFonts w:ascii="Verdana" w:hAnsi="Verdana"/>
                <w:b/>
                <w:sz w:val="20"/>
                <w:szCs w:val="20"/>
              </w:rPr>
            </w:pPr>
            <w:r w:rsidRPr="00654044">
              <w:rPr>
                <w:rFonts w:ascii="Verdana" w:hAnsi="Verdana"/>
                <w:b/>
                <w:sz w:val="20"/>
                <w:szCs w:val="20"/>
              </w:rPr>
              <w:t>Recommendation</w:t>
            </w:r>
          </w:p>
        </w:tc>
        <w:tc>
          <w:tcPr>
            <w:tcW w:w="1800" w:type="dxa"/>
          </w:tcPr>
          <w:p w:rsidR="00556BC8" w:rsidRPr="00654044" w:rsidRDefault="00556BC8" w:rsidP="002A26AF">
            <w:pPr>
              <w:jc w:val="center"/>
              <w:rPr>
                <w:rFonts w:ascii="Verdana" w:hAnsi="Verdana"/>
                <w:b/>
                <w:sz w:val="20"/>
                <w:szCs w:val="20"/>
              </w:rPr>
            </w:pPr>
            <w:r w:rsidRPr="00654044">
              <w:rPr>
                <w:rFonts w:ascii="Verdana" w:hAnsi="Verdana"/>
                <w:b/>
                <w:sz w:val="20"/>
                <w:szCs w:val="20"/>
              </w:rPr>
              <w:t>Responsibility</w:t>
            </w:r>
          </w:p>
        </w:tc>
        <w:tc>
          <w:tcPr>
            <w:tcW w:w="8495" w:type="dxa"/>
          </w:tcPr>
          <w:p w:rsidR="00556BC8" w:rsidRPr="00654044" w:rsidRDefault="00556BC8" w:rsidP="002A26AF">
            <w:pPr>
              <w:jc w:val="center"/>
              <w:rPr>
                <w:rFonts w:ascii="Verdana" w:hAnsi="Verdana"/>
                <w:b/>
                <w:sz w:val="20"/>
                <w:szCs w:val="20"/>
              </w:rPr>
            </w:pPr>
            <w:r w:rsidRPr="00654044">
              <w:rPr>
                <w:rFonts w:ascii="Verdana" w:hAnsi="Verdana"/>
                <w:b/>
                <w:sz w:val="20"/>
                <w:szCs w:val="20"/>
              </w:rPr>
              <w:t>Response and Status</w:t>
            </w:r>
          </w:p>
        </w:tc>
      </w:tr>
      <w:tr w:rsidR="00556BC8" w:rsidTr="00036130">
        <w:tc>
          <w:tcPr>
            <w:tcW w:w="635" w:type="dxa"/>
          </w:tcPr>
          <w:p w:rsidR="00556BC8" w:rsidRPr="00794C73" w:rsidRDefault="00556BC8" w:rsidP="002A26AF">
            <w:pPr>
              <w:rPr>
                <w:rFonts w:asciiTheme="minorHAnsi" w:hAnsiTheme="minorHAnsi" w:cstheme="minorHAnsi"/>
                <w:sz w:val="22"/>
                <w:szCs w:val="22"/>
              </w:rPr>
            </w:pPr>
            <w:r w:rsidRPr="00794C73">
              <w:rPr>
                <w:rFonts w:asciiTheme="minorHAnsi" w:hAnsiTheme="minorHAnsi" w:cstheme="minorHAnsi"/>
                <w:sz w:val="22"/>
                <w:szCs w:val="22"/>
              </w:rPr>
              <w:t>15</w:t>
            </w:r>
          </w:p>
        </w:tc>
        <w:tc>
          <w:tcPr>
            <w:tcW w:w="2928" w:type="dxa"/>
          </w:tcPr>
          <w:p w:rsidR="00556BC8" w:rsidRPr="00794C73" w:rsidRDefault="00556BC8" w:rsidP="002A26AF">
            <w:pPr>
              <w:pStyle w:val="Default"/>
              <w:rPr>
                <w:rFonts w:asciiTheme="minorHAnsi" w:hAnsiTheme="minorHAnsi"/>
                <w:sz w:val="22"/>
                <w:szCs w:val="22"/>
              </w:rPr>
            </w:pPr>
            <w:r w:rsidRPr="00794C73">
              <w:rPr>
                <w:rFonts w:asciiTheme="minorHAnsi" w:hAnsiTheme="minorHAnsi"/>
                <w:sz w:val="22"/>
                <w:szCs w:val="22"/>
              </w:rPr>
              <w:t xml:space="preserve">Develop a FBE-specific alumni engagement strategy. </w:t>
            </w:r>
          </w:p>
        </w:tc>
        <w:tc>
          <w:tcPr>
            <w:tcW w:w="1800" w:type="dxa"/>
          </w:tcPr>
          <w:p w:rsidR="00556BC8" w:rsidRPr="00794C73" w:rsidRDefault="00556BC8" w:rsidP="002A26AF">
            <w:pPr>
              <w:rPr>
                <w:rFonts w:asciiTheme="minorHAnsi" w:hAnsiTheme="minorHAnsi" w:cstheme="minorHAnsi"/>
                <w:sz w:val="22"/>
                <w:szCs w:val="22"/>
              </w:rPr>
            </w:pPr>
            <w:r>
              <w:rPr>
                <w:rFonts w:asciiTheme="minorHAnsi" w:hAnsiTheme="minorHAnsi" w:cstheme="minorHAnsi"/>
                <w:sz w:val="22"/>
                <w:szCs w:val="22"/>
              </w:rPr>
              <w:t>Executive Dean</w:t>
            </w:r>
          </w:p>
        </w:tc>
        <w:tc>
          <w:tcPr>
            <w:tcW w:w="8495" w:type="dxa"/>
          </w:tcPr>
          <w:p w:rsidR="00556BC8" w:rsidRPr="00794C73" w:rsidRDefault="00556BC8" w:rsidP="00A45D1F">
            <w:pPr>
              <w:rPr>
                <w:rFonts w:asciiTheme="minorHAnsi" w:hAnsiTheme="minorHAnsi" w:cstheme="minorHAnsi"/>
                <w:sz w:val="22"/>
                <w:szCs w:val="22"/>
              </w:rPr>
            </w:pPr>
            <w:r>
              <w:rPr>
                <w:rFonts w:asciiTheme="minorHAnsi" w:hAnsiTheme="minorHAnsi" w:cstheme="minorHAnsi"/>
                <w:sz w:val="22"/>
                <w:szCs w:val="22"/>
              </w:rPr>
              <w:t>Support the University’s alumni development strategy and pursue innovative approaches to engage with the high proportion of international student alumni located overseas.</w:t>
            </w:r>
          </w:p>
        </w:tc>
      </w:tr>
    </w:tbl>
    <w:p w:rsidR="00794C73" w:rsidRDefault="00794C73" w:rsidP="00794C73">
      <w:pPr>
        <w:pStyle w:val="Heading3"/>
        <w:numPr>
          <w:ilvl w:val="0"/>
          <w:numId w:val="1"/>
        </w:numPr>
      </w:pPr>
      <w:r>
        <w:t>International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871"/>
        <w:gridCol w:w="1799"/>
        <w:gridCol w:w="8552"/>
      </w:tblGrid>
      <w:tr w:rsidR="00AE3DA6" w:rsidTr="00036130">
        <w:tc>
          <w:tcPr>
            <w:tcW w:w="636" w:type="dxa"/>
          </w:tcPr>
          <w:p w:rsidR="00AE3DA6" w:rsidRPr="00654044" w:rsidRDefault="00AE3DA6" w:rsidP="002A26AF">
            <w:pPr>
              <w:jc w:val="center"/>
              <w:rPr>
                <w:rFonts w:ascii="Verdana" w:hAnsi="Verdana"/>
                <w:b/>
                <w:sz w:val="20"/>
                <w:szCs w:val="20"/>
              </w:rPr>
            </w:pPr>
            <w:r w:rsidRPr="00654044">
              <w:rPr>
                <w:rFonts w:ascii="Verdana" w:hAnsi="Verdana"/>
                <w:b/>
                <w:sz w:val="20"/>
                <w:szCs w:val="20"/>
              </w:rPr>
              <w:t>Rec No.</w:t>
            </w:r>
          </w:p>
        </w:tc>
        <w:tc>
          <w:tcPr>
            <w:tcW w:w="2871" w:type="dxa"/>
          </w:tcPr>
          <w:p w:rsidR="00AE3DA6" w:rsidRPr="00654044" w:rsidRDefault="00AE3DA6" w:rsidP="002A26AF">
            <w:pPr>
              <w:jc w:val="center"/>
              <w:rPr>
                <w:rFonts w:ascii="Verdana" w:hAnsi="Verdana"/>
                <w:b/>
                <w:sz w:val="20"/>
                <w:szCs w:val="20"/>
              </w:rPr>
            </w:pPr>
            <w:r w:rsidRPr="00654044">
              <w:rPr>
                <w:rFonts w:ascii="Verdana" w:hAnsi="Verdana"/>
                <w:b/>
                <w:sz w:val="20"/>
                <w:szCs w:val="20"/>
              </w:rPr>
              <w:t>Recommendation</w:t>
            </w:r>
          </w:p>
        </w:tc>
        <w:tc>
          <w:tcPr>
            <w:tcW w:w="1799" w:type="dxa"/>
          </w:tcPr>
          <w:p w:rsidR="00AE3DA6" w:rsidRPr="00654044" w:rsidRDefault="00AE3DA6" w:rsidP="002A26AF">
            <w:pPr>
              <w:jc w:val="center"/>
              <w:rPr>
                <w:rFonts w:ascii="Verdana" w:hAnsi="Verdana"/>
                <w:b/>
                <w:sz w:val="20"/>
                <w:szCs w:val="20"/>
              </w:rPr>
            </w:pPr>
            <w:r w:rsidRPr="00654044">
              <w:rPr>
                <w:rFonts w:ascii="Verdana" w:hAnsi="Verdana"/>
                <w:b/>
                <w:sz w:val="20"/>
                <w:szCs w:val="20"/>
              </w:rPr>
              <w:t>Responsibility</w:t>
            </w:r>
          </w:p>
        </w:tc>
        <w:tc>
          <w:tcPr>
            <w:tcW w:w="8552" w:type="dxa"/>
          </w:tcPr>
          <w:p w:rsidR="00AE3DA6" w:rsidRPr="00654044" w:rsidRDefault="00AE3DA6" w:rsidP="002A26AF">
            <w:pPr>
              <w:jc w:val="center"/>
              <w:rPr>
                <w:rFonts w:ascii="Verdana" w:hAnsi="Verdana"/>
                <w:b/>
                <w:sz w:val="20"/>
                <w:szCs w:val="20"/>
              </w:rPr>
            </w:pPr>
            <w:r w:rsidRPr="00654044">
              <w:rPr>
                <w:rFonts w:ascii="Verdana" w:hAnsi="Verdana"/>
                <w:b/>
                <w:sz w:val="20"/>
                <w:szCs w:val="20"/>
              </w:rPr>
              <w:t>Response and Status</w:t>
            </w:r>
          </w:p>
        </w:tc>
      </w:tr>
      <w:tr w:rsidR="00AE3DA6" w:rsidTr="00036130">
        <w:tc>
          <w:tcPr>
            <w:tcW w:w="636" w:type="dxa"/>
          </w:tcPr>
          <w:p w:rsidR="00AE3DA6" w:rsidRPr="00794C73" w:rsidRDefault="00AE3DA6" w:rsidP="002A26AF">
            <w:pPr>
              <w:rPr>
                <w:rFonts w:asciiTheme="minorHAnsi" w:hAnsiTheme="minorHAnsi" w:cstheme="minorHAnsi"/>
                <w:sz w:val="22"/>
                <w:szCs w:val="22"/>
              </w:rPr>
            </w:pPr>
            <w:r w:rsidRPr="00794C73">
              <w:rPr>
                <w:rFonts w:asciiTheme="minorHAnsi" w:hAnsiTheme="minorHAnsi" w:cstheme="minorHAnsi"/>
                <w:sz w:val="22"/>
                <w:szCs w:val="22"/>
              </w:rPr>
              <w:t>16</w:t>
            </w:r>
          </w:p>
        </w:tc>
        <w:tc>
          <w:tcPr>
            <w:tcW w:w="2871" w:type="dxa"/>
          </w:tcPr>
          <w:p w:rsidR="00AE3DA6" w:rsidRPr="00794C73" w:rsidRDefault="00AE3DA6" w:rsidP="002A26AF">
            <w:pPr>
              <w:pStyle w:val="Default"/>
              <w:rPr>
                <w:rFonts w:asciiTheme="minorHAnsi" w:hAnsiTheme="minorHAnsi"/>
                <w:sz w:val="22"/>
                <w:szCs w:val="22"/>
              </w:rPr>
            </w:pPr>
            <w:r w:rsidRPr="00794C73">
              <w:rPr>
                <w:rFonts w:asciiTheme="minorHAnsi" w:hAnsiTheme="minorHAnsi"/>
                <w:sz w:val="22"/>
                <w:szCs w:val="22"/>
              </w:rPr>
              <w:t xml:space="preserve">Pursue international research linkages with Chinese universities in Project 985 excluding the C9 League. </w:t>
            </w:r>
          </w:p>
        </w:tc>
        <w:tc>
          <w:tcPr>
            <w:tcW w:w="1799" w:type="dxa"/>
          </w:tcPr>
          <w:p w:rsidR="00AE3DA6" w:rsidRPr="00794C73" w:rsidRDefault="00AE3DA6" w:rsidP="002A26AF">
            <w:pPr>
              <w:rPr>
                <w:rFonts w:asciiTheme="minorHAnsi" w:hAnsiTheme="minorHAnsi" w:cstheme="minorHAnsi"/>
                <w:sz w:val="22"/>
                <w:szCs w:val="22"/>
              </w:rPr>
            </w:pPr>
            <w:r>
              <w:rPr>
                <w:rFonts w:asciiTheme="minorHAnsi" w:hAnsiTheme="minorHAnsi" w:cstheme="minorHAnsi"/>
                <w:sz w:val="22"/>
                <w:szCs w:val="22"/>
              </w:rPr>
              <w:t>Executive Dean</w:t>
            </w:r>
          </w:p>
        </w:tc>
        <w:tc>
          <w:tcPr>
            <w:tcW w:w="8552" w:type="dxa"/>
          </w:tcPr>
          <w:p w:rsidR="00AE3DA6" w:rsidRPr="00794C73" w:rsidRDefault="00AE3DA6" w:rsidP="00AE3DA6">
            <w:pPr>
              <w:rPr>
                <w:rFonts w:asciiTheme="minorHAnsi" w:hAnsiTheme="minorHAnsi" w:cstheme="minorHAnsi"/>
                <w:sz w:val="22"/>
                <w:szCs w:val="22"/>
              </w:rPr>
            </w:pPr>
            <w:r>
              <w:rPr>
                <w:rFonts w:asciiTheme="minorHAnsi" w:hAnsiTheme="minorHAnsi" w:cstheme="minorHAnsi"/>
                <w:sz w:val="22"/>
                <w:szCs w:val="22"/>
              </w:rPr>
              <w:t>This recommendation has been noted and is consistent with the Faculty’s mission</w:t>
            </w:r>
            <w:r w:rsidR="00A07D49">
              <w:rPr>
                <w:rFonts w:asciiTheme="minorHAnsi" w:hAnsiTheme="minorHAnsi" w:cstheme="minorHAnsi"/>
                <w:sz w:val="22"/>
                <w:szCs w:val="22"/>
              </w:rPr>
              <w:t xml:space="preserve"> and activities</w:t>
            </w:r>
            <w:r>
              <w:rPr>
                <w:rFonts w:asciiTheme="minorHAnsi" w:hAnsiTheme="minorHAnsi" w:cstheme="minorHAnsi"/>
                <w:sz w:val="22"/>
                <w:szCs w:val="22"/>
              </w:rPr>
              <w:t xml:space="preserve"> in relation to the Asian-Pacific region. </w:t>
            </w:r>
          </w:p>
        </w:tc>
      </w:tr>
      <w:tr w:rsidR="00AE3DA6" w:rsidTr="00036130">
        <w:tc>
          <w:tcPr>
            <w:tcW w:w="636" w:type="dxa"/>
          </w:tcPr>
          <w:p w:rsidR="00AE3DA6" w:rsidRPr="00794C73" w:rsidRDefault="00AE3DA6" w:rsidP="002A26AF">
            <w:pPr>
              <w:rPr>
                <w:rFonts w:asciiTheme="minorHAnsi" w:hAnsiTheme="minorHAnsi" w:cstheme="minorHAnsi"/>
                <w:sz w:val="22"/>
                <w:szCs w:val="22"/>
              </w:rPr>
            </w:pPr>
            <w:r w:rsidRPr="00794C73">
              <w:rPr>
                <w:rFonts w:asciiTheme="minorHAnsi" w:hAnsiTheme="minorHAnsi" w:cstheme="minorHAnsi"/>
                <w:sz w:val="22"/>
                <w:szCs w:val="22"/>
              </w:rPr>
              <w:t>17</w:t>
            </w:r>
          </w:p>
        </w:tc>
        <w:tc>
          <w:tcPr>
            <w:tcW w:w="2871" w:type="dxa"/>
          </w:tcPr>
          <w:p w:rsidR="00AE3DA6" w:rsidRPr="00794C73" w:rsidRDefault="00AE3DA6" w:rsidP="002A26AF">
            <w:pPr>
              <w:pStyle w:val="Default"/>
              <w:rPr>
                <w:rFonts w:asciiTheme="minorHAnsi" w:hAnsiTheme="minorHAnsi"/>
                <w:sz w:val="22"/>
                <w:szCs w:val="22"/>
              </w:rPr>
            </w:pPr>
            <w:r w:rsidRPr="00794C73">
              <w:rPr>
                <w:rFonts w:asciiTheme="minorHAnsi" w:hAnsiTheme="minorHAnsi"/>
                <w:sz w:val="22"/>
                <w:szCs w:val="22"/>
              </w:rPr>
              <w:t xml:space="preserve">Re-establish the role of Associate Dean, International. </w:t>
            </w:r>
          </w:p>
        </w:tc>
        <w:tc>
          <w:tcPr>
            <w:tcW w:w="1799" w:type="dxa"/>
          </w:tcPr>
          <w:p w:rsidR="00AE3DA6" w:rsidRPr="00794C73" w:rsidRDefault="00AE3DA6" w:rsidP="002A26AF">
            <w:pPr>
              <w:rPr>
                <w:rFonts w:asciiTheme="minorHAnsi" w:hAnsiTheme="minorHAnsi" w:cstheme="minorHAnsi"/>
                <w:sz w:val="22"/>
                <w:szCs w:val="22"/>
              </w:rPr>
            </w:pPr>
            <w:r>
              <w:rPr>
                <w:rFonts w:asciiTheme="minorHAnsi" w:hAnsiTheme="minorHAnsi" w:cstheme="minorHAnsi"/>
                <w:sz w:val="22"/>
                <w:szCs w:val="22"/>
              </w:rPr>
              <w:t>Executive Dean</w:t>
            </w:r>
          </w:p>
        </w:tc>
        <w:tc>
          <w:tcPr>
            <w:tcW w:w="8552" w:type="dxa"/>
          </w:tcPr>
          <w:p w:rsidR="00AE3DA6" w:rsidRPr="00794C73" w:rsidRDefault="00AE3DA6" w:rsidP="002A26AF">
            <w:pPr>
              <w:rPr>
                <w:rFonts w:asciiTheme="minorHAnsi" w:hAnsiTheme="minorHAnsi" w:cstheme="minorHAnsi"/>
                <w:sz w:val="22"/>
                <w:szCs w:val="22"/>
              </w:rPr>
            </w:pPr>
            <w:r>
              <w:rPr>
                <w:rFonts w:asciiTheme="minorHAnsi" w:hAnsiTheme="minorHAnsi" w:cstheme="minorHAnsi"/>
                <w:sz w:val="22"/>
                <w:szCs w:val="22"/>
              </w:rPr>
              <w:t>Consult with the DVC International in relation to re-establishment of the role of Associate Dean, International.</w:t>
            </w:r>
          </w:p>
        </w:tc>
      </w:tr>
    </w:tbl>
    <w:p w:rsidR="00794C73" w:rsidRDefault="00794C73" w:rsidP="00786C38"/>
    <w:sectPr w:rsidR="00794C73" w:rsidSect="00036130">
      <w:pgSz w:w="16839" w:h="11907" w:orient="landscape" w:code="9"/>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DE" w:rsidRDefault="00CA30DE">
      <w:r>
        <w:separator/>
      </w:r>
    </w:p>
  </w:endnote>
  <w:endnote w:type="continuationSeparator" w:id="0">
    <w:p w:rsidR="00CA30DE" w:rsidRDefault="00C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DE" w:rsidRDefault="00CA30D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078CD3D" wp14:editId="05664B18">
              <wp:simplePos x="0" y="0"/>
              <mc:AlternateContent>
                <mc:Choice Requires="wp14">
                  <wp:positionH relativeFrom="page">
                    <wp14:pctPosHOffset>91000</wp14:pctPosHOffset>
                  </wp:positionH>
                </mc:Choice>
                <mc:Fallback>
                  <wp:positionH relativeFrom="page">
                    <wp:posOffset>9730105</wp:posOffset>
                  </wp:positionH>
                </mc:Fallback>
              </mc:AlternateContent>
              <mc:AlternateContent>
                <mc:Choice Requires="wp14">
                  <wp:positionV relativeFrom="page">
                    <wp14:pctPosVOffset>93000</wp14:pctPosVOffset>
                  </wp:positionV>
                </mc:Choice>
                <mc:Fallback>
                  <wp:positionV relativeFrom="page">
                    <wp:posOffset>7031355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0DE" w:rsidRDefault="00CA30D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3009E">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A30DE" w:rsidRDefault="00CA30D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3009E">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A30DE" w:rsidRDefault="00CA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DE" w:rsidRDefault="00CA30DE">
      <w:r>
        <w:separator/>
      </w:r>
    </w:p>
  </w:footnote>
  <w:footnote w:type="continuationSeparator" w:id="0">
    <w:p w:rsidR="00CA30DE" w:rsidRDefault="00CA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3D0"/>
    <w:multiLevelType w:val="hybridMultilevel"/>
    <w:tmpl w:val="F2E4B10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4F02B8A"/>
    <w:multiLevelType w:val="hybridMultilevel"/>
    <w:tmpl w:val="07E07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B8D4215"/>
    <w:multiLevelType w:val="hybridMultilevel"/>
    <w:tmpl w:val="667617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E5264B7"/>
    <w:multiLevelType w:val="hybridMultilevel"/>
    <w:tmpl w:val="12A8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B00E8B"/>
    <w:multiLevelType w:val="hybridMultilevel"/>
    <w:tmpl w:val="13B8FB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157DE6"/>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3E"/>
    <w:rsid w:val="0002460F"/>
    <w:rsid w:val="00036130"/>
    <w:rsid w:val="00044B76"/>
    <w:rsid w:val="00067375"/>
    <w:rsid w:val="000A15AA"/>
    <w:rsid w:val="000A1A9E"/>
    <w:rsid w:val="000B4215"/>
    <w:rsid w:val="000C1EF7"/>
    <w:rsid w:val="000C5A33"/>
    <w:rsid w:val="000D4843"/>
    <w:rsid w:val="000D573F"/>
    <w:rsid w:val="000E78A3"/>
    <w:rsid w:val="00101EBC"/>
    <w:rsid w:val="001327CA"/>
    <w:rsid w:val="001353D2"/>
    <w:rsid w:val="00193975"/>
    <w:rsid w:val="001B3790"/>
    <w:rsid w:val="001E1283"/>
    <w:rsid w:val="00223A3E"/>
    <w:rsid w:val="00264071"/>
    <w:rsid w:val="0027246F"/>
    <w:rsid w:val="00290C8B"/>
    <w:rsid w:val="002A2502"/>
    <w:rsid w:val="002A26AF"/>
    <w:rsid w:val="002A3D8F"/>
    <w:rsid w:val="002A485E"/>
    <w:rsid w:val="002A7391"/>
    <w:rsid w:val="0031616C"/>
    <w:rsid w:val="00320EF9"/>
    <w:rsid w:val="00327CAE"/>
    <w:rsid w:val="00353280"/>
    <w:rsid w:val="00354329"/>
    <w:rsid w:val="00357DFD"/>
    <w:rsid w:val="003716D0"/>
    <w:rsid w:val="00375925"/>
    <w:rsid w:val="00375FCA"/>
    <w:rsid w:val="003774FE"/>
    <w:rsid w:val="00392A9E"/>
    <w:rsid w:val="003A142D"/>
    <w:rsid w:val="003C6071"/>
    <w:rsid w:val="003E6FE0"/>
    <w:rsid w:val="004240B2"/>
    <w:rsid w:val="00450728"/>
    <w:rsid w:val="00452712"/>
    <w:rsid w:val="0046336A"/>
    <w:rsid w:val="00466B27"/>
    <w:rsid w:val="0049675D"/>
    <w:rsid w:val="004D39AC"/>
    <w:rsid w:val="005256FF"/>
    <w:rsid w:val="00535C75"/>
    <w:rsid w:val="0055384F"/>
    <w:rsid w:val="00556BC8"/>
    <w:rsid w:val="005761F3"/>
    <w:rsid w:val="005A0498"/>
    <w:rsid w:val="005A534E"/>
    <w:rsid w:val="005A6933"/>
    <w:rsid w:val="005B65AE"/>
    <w:rsid w:val="005B7879"/>
    <w:rsid w:val="00613DFE"/>
    <w:rsid w:val="00626575"/>
    <w:rsid w:val="00627536"/>
    <w:rsid w:val="0063693E"/>
    <w:rsid w:val="00654044"/>
    <w:rsid w:val="006577C8"/>
    <w:rsid w:val="0066340B"/>
    <w:rsid w:val="006662BD"/>
    <w:rsid w:val="00685EB2"/>
    <w:rsid w:val="00691E8A"/>
    <w:rsid w:val="00697EB6"/>
    <w:rsid w:val="006C5E9E"/>
    <w:rsid w:val="006D4BF4"/>
    <w:rsid w:val="007201C3"/>
    <w:rsid w:val="00720941"/>
    <w:rsid w:val="00721390"/>
    <w:rsid w:val="00727BA3"/>
    <w:rsid w:val="007373BD"/>
    <w:rsid w:val="00737E5B"/>
    <w:rsid w:val="00747069"/>
    <w:rsid w:val="00776533"/>
    <w:rsid w:val="00786C38"/>
    <w:rsid w:val="00790FDA"/>
    <w:rsid w:val="00794C73"/>
    <w:rsid w:val="007A59FB"/>
    <w:rsid w:val="007A7F78"/>
    <w:rsid w:val="007B3B7F"/>
    <w:rsid w:val="007D549D"/>
    <w:rsid w:val="007E15CD"/>
    <w:rsid w:val="007F63A5"/>
    <w:rsid w:val="007F7101"/>
    <w:rsid w:val="0080143A"/>
    <w:rsid w:val="00805D92"/>
    <w:rsid w:val="00827C7A"/>
    <w:rsid w:val="008479AC"/>
    <w:rsid w:val="00852DEA"/>
    <w:rsid w:val="00852EDB"/>
    <w:rsid w:val="008806EB"/>
    <w:rsid w:val="008C5370"/>
    <w:rsid w:val="008D36C8"/>
    <w:rsid w:val="009211D3"/>
    <w:rsid w:val="0093006A"/>
    <w:rsid w:val="00951232"/>
    <w:rsid w:val="00960310"/>
    <w:rsid w:val="0096702D"/>
    <w:rsid w:val="00983D42"/>
    <w:rsid w:val="009876C2"/>
    <w:rsid w:val="009928D8"/>
    <w:rsid w:val="00992CB2"/>
    <w:rsid w:val="009A6CBE"/>
    <w:rsid w:val="009D23BE"/>
    <w:rsid w:val="009E3B39"/>
    <w:rsid w:val="009F423F"/>
    <w:rsid w:val="00A07D49"/>
    <w:rsid w:val="00A1612D"/>
    <w:rsid w:val="00A177DA"/>
    <w:rsid w:val="00A440D6"/>
    <w:rsid w:val="00A45D1F"/>
    <w:rsid w:val="00A71ADD"/>
    <w:rsid w:val="00AB1CE5"/>
    <w:rsid w:val="00AE3DA6"/>
    <w:rsid w:val="00B13652"/>
    <w:rsid w:val="00B24531"/>
    <w:rsid w:val="00B3009E"/>
    <w:rsid w:val="00B322E2"/>
    <w:rsid w:val="00B34FD7"/>
    <w:rsid w:val="00B64BC0"/>
    <w:rsid w:val="00B65C0D"/>
    <w:rsid w:val="00B75935"/>
    <w:rsid w:val="00BB0EF9"/>
    <w:rsid w:val="00BB4094"/>
    <w:rsid w:val="00BC5AFB"/>
    <w:rsid w:val="00BD4DE9"/>
    <w:rsid w:val="00BD60DF"/>
    <w:rsid w:val="00BD714D"/>
    <w:rsid w:val="00BF1010"/>
    <w:rsid w:val="00BF18CD"/>
    <w:rsid w:val="00BF7762"/>
    <w:rsid w:val="00C439AE"/>
    <w:rsid w:val="00C60A91"/>
    <w:rsid w:val="00C90D8B"/>
    <w:rsid w:val="00CA30DE"/>
    <w:rsid w:val="00CB1679"/>
    <w:rsid w:val="00CE1352"/>
    <w:rsid w:val="00CF76E7"/>
    <w:rsid w:val="00D013C3"/>
    <w:rsid w:val="00D04631"/>
    <w:rsid w:val="00D13D32"/>
    <w:rsid w:val="00D25CEB"/>
    <w:rsid w:val="00D302F5"/>
    <w:rsid w:val="00D501AB"/>
    <w:rsid w:val="00D711A6"/>
    <w:rsid w:val="00D72C1C"/>
    <w:rsid w:val="00D86CBF"/>
    <w:rsid w:val="00D90941"/>
    <w:rsid w:val="00D942BF"/>
    <w:rsid w:val="00DA3515"/>
    <w:rsid w:val="00DC1088"/>
    <w:rsid w:val="00DC1D20"/>
    <w:rsid w:val="00E013ED"/>
    <w:rsid w:val="00E1567D"/>
    <w:rsid w:val="00E43100"/>
    <w:rsid w:val="00E473A7"/>
    <w:rsid w:val="00E5498C"/>
    <w:rsid w:val="00E554B0"/>
    <w:rsid w:val="00E7521D"/>
    <w:rsid w:val="00E82617"/>
    <w:rsid w:val="00E86505"/>
    <w:rsid w:val="00EC1745"/>
    <w:rsid w:val="00EC4FE8"/>
    <w:rsid w:val="00EE4507"/>
    <w:rsid w:val="00EE4D4E"/>
    <w:rsid w:val="00F204ED"/>
    <w:rsid w:val="00F34212"/>
    <w:rsid w:val="00F61A31"/>
    <w:rsid w:val="00F72540"/>
    <w:rsid w:val="00F87B0A"/>
    <w:rsid w:val="00FB2A28"/>
    <w:rsid w:val="00FC0FC6"/>
    <w:rsid w:val="00FC1D7C"/>
    <w:rsid w:val="00FD6BBA"/>
    <w:rsid w:val="00FF2648"/>
    <w:rsid w:val="00FF6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 w:type="paragraph" w:customStyle="1" w:styleId="Default">
    <w:name w:val="Default"/>
    <w:rsid w:val="00223A3E"/>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7B3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 w:type="paragraph" w:customStyle="1" w:styleId="Default">
    <w:name w:val="Default"/>
    <w:rsid w:val="00223A3E"/>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7B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3E07-0F8F-4E06-8945-A0B18850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Jarryd Daymond</dc:creator>
  <cp:lastModifiedBy>IT Support</cp:lastModifiedBy>
  <cp:revision>2</cp:revision>
  <cp:lastPrinted>2013-11-14T01:00:00Z</cp:lastPrinted>
  <dcterms:created xsi:type="dcterms:W3CDTF">2013-11-19T00:31:00Z</dcterms:created>
  <dcterms:modified xsi:type="dcterms:W3CDTF">2013-11-19T00:31:00Z</dcterms:modified>
</cp:coreProperties>
</file>